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1" w:rsidRPr="0074458A" w:rsidRDefault="00ED2991" w:rsidP="00ED2991">
      <w:pPr>
        <w:spacing w:line="228" w:lineRule="auto"/>
        <w:jc w:val="center"/>
        <w:rPr>
          <w:spacing w:val="-10"/>
          <w:sz w:val="22"/>
          <w:szCs w:val="22"/>
        </w:rPr>
      </w:pPr>
      <w:bookmarkStart w:id="0" w:name="_GoBack"/>
      <w:r>
        <w:rPr>
          <w:bCs/>
          <w:spacing w:val="-10"/>
          <w:sz w:val="22"/>
          <w:szCs w:val="22"/>
        </w:rPr>
        <w:t>В</w:t>
      </w:r>
      <w:r w:rsidRPr="0074458A">
        <w:rPr>
          <w:bCs/>
          <w:spacing w:val="-10"/>
          <w:sz w:val="22"/>
          <w:szCs w:val="22"/>
        </w:rPr>
        <w:t xml:space="preserve">ыполнение проектно-изыскательских работ </w:t>
      </w:r>
      <w:r w:rsidRPr="0074458A">
        <w:rPr>
          <w:spacing w:val="-10"/>
          <w:sz w:val="22"/>
          <w:szCs w:val="22"/>
        </w:rPr>
        <w:t>на строительство «</w:t>
      </w:r>
      <w:r w:rsidRPr="0074458A">
        <w:rPr>
          <w:rFonts w:eastAsia="Times New Roman"/>
          <w:bCs/>
          <w:spacing w:val="-10"/>
          <w:sz w:val="22"/>
          <w:szCs w:val="22"/>
        </w:rPr>
        <w:t xml:space="preserve">Специального приемника для содержания лиц арестованных в административном порядке на 100 мест </w:t>
      </w:r>
      <w:bookmarkEnd w:id="0"/>
      <w:r w:rsidRPr="0074458A">
        <w:rPr>
          <w:rFonts w:eastAsia="Times New Roman"/>
          <w:bCs/>
          <w:spacing w:val="-10"/>
          <w:sz w:val="22"/>
          <w:szCs w:val="22"/>
        </w:rPr>
        <w:t>УМВД России по г. Абакану Республики Хакасия</w:t>
      </w:r>
      <w:r w:rsidRPr="0074458A">
        <w:rPr>
          <w:spacing w:val="-10"/>
          <w:sz w:val="22"/>
          <w:szCs w:val="22"/>
        </w:rPr>
        <w:t>»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938"/>
        <w:gridCol w:w="6117"/>
      </w:tblGrid>
      <w:tr w:rsidR="00ED2991" w:rsidRPr="0074458A" w:rsidTr="00950D27">
        <w:trPr>
          <w:trHeight w:val="509"/>
        </w:trPr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№</w:t>
            </w:r>
          </w:p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п</w:t>
            </w:r>
            <w:r w:rsidRPr="0074458A">
              <w:rPr>
                <w:b/>
                <w:spacing w:val="-10"/>
                <w:sz w:val="22"/>
                <w:szCs w:val="22"/>
                <w:lang w:val="en-US"/>
              </w:rPr>
              <w:t>/</w:t>
            </w:r>
            <w:r w:rsidRPr="0074458A">
              <w:rPr>
                <w:b/>
                <w:spacing w:val="-10"/>
                <w:sz w:val="22"/>
                <w:szCs w:val="22"/>
              </w:rPr>
              <w:t>п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Перечень основных треб</w:t>
            </w:r>
            <w:r w:rsidRPr="0074458A">
              <w:rPr>
                <w:b/>
                <w:spacing w:val="-10"/>
                <w:sz w:val="22"/>
                <w:szCs w:val="22"/>
              </w:rPr>
              <w:t>о</w:t>
            </w:r>
            <w:r w:rsidRPr="0074458A">
              <w:rPr>
                <w:b/>
                <w:spacing w:val="-10"/>
                <w:sz w:val="22"/>
                <w:szCs w:val="22"/>
              </w:rPr>
              <w:t>ваний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center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Содержание требований</w:t>
            </w:r>
          </w:p>
        </w:tc>
      </w:tr>
      <w:tr w:rsidR="00ED2991" w:rsidRPr="0074458A" w:rsidTr="00950D27">
        <w:tc>
          <w:tcPr>
            <w:tcW w:w="5000" w:type="pct"/>
            <w:gridSpan w:val="3"/>
          </w:tcPr>
          <w:p w:rsidR="00ED2991" w:rsidRPr="0074458A" w:rsidRDefault="00ED2991" w:rsidP="00950D27">
            <w:pPr>
              <w:spacing w:line="228" w:lineRule="auto"/>
              <w:ind w:right="-110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1. Общие данные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1.1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Наименование объекта кап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тального строительства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Специальный приемник для содержания лиц арестованных в административном порядке на 100 мест УМВД России по г. Абакану Республики Хакасия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1.2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Сведения об участке стро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тельства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Проектируемое здание размещается на двух земельных уч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 xml:space="preserve">стках общей площадью 30 238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кв.м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, расположенных по адр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сам: Республика Хакасия, г. Абакан, кв. Молодежный, 12П и 12Р (определить в ходе проектирования). Строения отсутс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 xml:space="preserve">вуют. 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1.3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Вид строительства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Новое 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1.4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Основание для проектиров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 xml:space="preserve">ния и строительства 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Наличие необходимости строительства нового здания для обеспечения условий для содержания лиц, арестованных в административном порядке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1.5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Срок и этапы строительства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 одну очередь, сроки согласно проекту организации строительства. Сдача объекта в эк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плуатацию в 2019 г.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1.8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Этапы проектирования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Исходно-разрешительная документация;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Инженерно-геодезические изыскания;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Градостроительный план земельного участка;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Инженерно-геологические изыскания (в том числе заключ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ния о санитарно-эпидемиологических исследованиях среды обитания);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Инженерно-экологические изыскания;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Инженерно-гидрометеорологические изыскания;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Проектная и рабочая документация; 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Согласование проекта с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энергоснабжающими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организациями и заказчиком;</w:t>
            </w:r>
          </w:p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Государственная экспертиза проектно-сметной документации и результатов инженерных изысканий;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Сопровождение проекта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1.9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Требования к вариантной разработке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Предусмотреть возможность использования типовой проек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ной документации или модифицированной типовой проек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ной документации, на которую было получено сводное з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ключение или положительное заключение государственной экспертизы проектной документации, выданные в соответс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вии с Положением, утвержденным Постановлением Правительства от 05.03.2007г. №145. Варианты такой документации по</w:t>
            </w:r>
            <w:r w:rsidRPr="0074458A">
              <w:rPr>
                <w:spacing w:val="-10"/>
                <w:sz w:val="22"/>
                <w:szCs w:val="22"/>
              </w:rPr>
              <w:t>д</w:t>
            </w:r>
            <w:r w:rsidRPr="0074458A">
              <w:rPr>
                <w:spacing w:val="-10"/>
                <w:sz w:val="22"/>
                <w:szCs w:val="22"/>
              </w:rPr>
              <w:t>лежат предварительному согласованию с Заказчиком.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1.10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Технические условия подкл</w:t>
            </w:r>
            <w:r w:rsidRPr="0074458A">
              <w:rPr>
                <w:spacing w:val="-10"/>
                <w:sz w:val="22"/>
                <w:szCs w:val="22"/>
              </w:rPr>
              <w:t>ю</w:t>
            </w:r>
            <w:r w:rsidRPr="0074458A">
              <w:rPr>
                <w:spacing w:val="-10"/>
                <w:sz w:val="22"/>
                <w:szCs w:val="22"/>
              </w:rPr>
              <w:t>чения к инженерным сетям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Предоставляются Заказчиком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1.11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Исходные данные об условиях строительства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Уточняются по результатам инженерных изысканий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1.12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Инженерные изыскания для подготовки проектной док</w:t>
            </w:r>
            <w:r w:rsidRPr="0074458A">
              <w:rPr>
                <w:spacing w:val="-10"/>
                <w:sz w:val="22"/>
                <w:szCs w:val="22"/>
              </w:rPr>
              <w:t>у</w:t>
            </w:r>
            <w:r w:rsidRPr="0074458A">
              <w:rPr>
                <w:spacing w:val="-10"/>
                <w:sz w:val="22"/>
                <w:szCs w:val="22"/>
              </w:rPr>
              <w:t>ментации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Предусматривается выполнение инженерных изысканий в с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ставе и объеме, необходимом для получения положительного заключения государственной экспертизы проектной документ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ции и результатов инженерных изысканий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1.13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Основные технико-экономические показатели объекта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ind w:left="38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Многоэтажное здание с режимными и административными помещениями вместимостью – 100 мест, ориентировочная пл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 xml:space="preserve">щадь объекта – </w:t>
            </w:r>
            <w:smartTag w:uri="urn:schemas-microsoft-com:office:smarttags" w:element="metricconverter">
              <w:smartTagPr>
                <w:attr w:name="ProductID" w:val="4100 кв. м"/>
              </w:smartTagPr>
              <w:r w:rsidRPr="0074458A">
                <w:rPr>
                  <w:spacing w:val="-10"/>
                  <w:sz w:val="22"/>
                  <w:szCs w:val="22"/>
                </w:rPr>
                <w:t>4100 кв. м</w:t>
              </w:r>
            </w:smartTag>
            <w:r w:rsidRPr="0074458A">
              <w:rPr>
                <w:spacing w:val="-10"/>
                <w:sz w:val="22"/>
                <w:szCs w:val="22"/>
              </w:rPr>
              <w:t>. Предусмотреть в административном здании помещения с отдельными входами и прилегающей па</w:t>
            </w:r>
            <w:r w:rsidRPr="0074458A">
              <w:rPr>
                <w:spacing w:val="-10"/>
                <w:sz w:val="22"/>
                <w:szCs w:val="22"/>
              </w:rPr>
              <w:t>р</w:t>
            </w:r>
            <w:r w:rsidRPr="0074458A">
              <w:rPr>
                <w:spacing w:val="-10"/>
                <w:sz w:val="22"/>
                <w:szCs w:val="22"/>
              </w:rPr>
              <w:t xml:space="preserve">ковкой для транспортных средств. </w:t>
            </w:r>
          </w:p>
          <w:p w:rsidR="00ED2991" w:rsidRPr="0074458A" w:rsidRDefault="00ED2991" w:rsidP="00950D27">
            <w:pPr>
              <w:spacing w:line="228" w:lineRule="auto"/>
              <w:ind w:left="38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Площадь земельного участка – 30 238,0 кв. м.</w:t>
            </w:r>
          </w:p>
          <w:p w:rsidR="00ED2991" w:rsidRPr="0074458A" w:rsidRDefault="00ED2991" w:rsidP="00950D27">
            <w:pPr>
              <w:spacing w:line="228" w:lineRule="auto"/>
              <w:ind w:left="38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Общая площадь здания и площадь застройки земельного учас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ка должна быть максимально допустимой по действующим нормам и определяется на этапе согласования Заказчиком По</w:t>
            </w:r>
            <w:r w:rsidRPr="0074458A">
              <w:rPr>
                <w:spacing w:val="-10"/>
                <w:sz w:val="22"/>
                <w:szCs w:val="22"/>
              </w:rPr>
              <w:t>д</w:t>
            </w:r>
            <w:r w:rsidRPr="0074458A">
              <w:rPr>
                <w:spacing w:val="-10"/>
                <w:sz w:val="22"/>
                <w:szCs w:val="22"/>
              </w:rPr>
              <w:t>рядчику схемы планировочной организации земельного участка.</w:t>
            </w:r>
          </w:p>
          <w:p w:rsidR="00ED2991" w:rsidRPr="0074458A" w:rsidRDefault="00ED2991" w:rsidP="00950D27">
            <w:pPr>
              <w:spacing w:line="228" w:lineRule="auto"/>
              <w:ind w:left="38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Схема планировочной организации земельного участка соглас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вывается с Департаментом градостроительства, архитектуры и землеустройства г. Абакан.</w:t>
            </w:r>
          </w:p>
        </w:tc>
      </w:tr>
      <w:tr w:rsidR="00ED2991" w:rsidRPr="0074458A" w:rsidTr="00950D27">
        <w:tc>
          <w:tcPr>
            <w:tcW w:w="5000" w:type="pct"/>
            <w:gridSpan w:val="3"/>
          </w:tcPr>
          <w:p w:rsidR="00ED2991" w:rsidRPr="0074458A" w:rsidRDefault="00ED2991" w:rsidP="00950D27">
            <w:pPr>
              <w:spacing w:line="228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lastRenderedPageBreak/>
              <w:t>2. Основные требования к проектным решениям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2.1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Генеральный план, благоус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ройство, озеленение, обесп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чение автостоянкой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Генпланом предусмотреть:</w:t>
            </w:r>
          </w:p>
          <w:p w:rsidR="00ED2991" w:rsidRPr="0074458A" w:rsidRDefault="00ED2991" w:rsidP="00950D27">
            <w:pPr>
              <w:spacing w:line="228" w:lineRule="auto"/>
              <w:ind w:left="90" w:hanging="90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благоустройство, озеленение, малые архитектурные формы;</w:t>
            </w:r>
          </w:p>
          <w:p w:rsidR="00ED2991" w:rsidRPr="0074458A" w:rsidRDefault="00ED2991" w:rsidP="00950D27">
            <w:pPr>
              <w:spacing w:line="228" w:lineRule="auto"/>
              <w:ind w:left="90" w:hanging="90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дороги и проезды, 2 автостоянки (количество парковочных мест согласовать с Заказчиком);</w:t>
            </w:r>
          </w:p>
          <w:p w:rsidR="00ED2991" w:rsidRPr="0074458A" w:rsidRDefault="00ED2991" w:rsidP="00950D27">
            <w:pPr>
              <w:spacing w:line="228" w:lineRule="auto"/>
              <w:ind w:left="90" w:hanging="90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вертикальную планировку;</w:t>
            </w:r>
          </w:p>
          <w:p w:rsidR="00ED2991" w:rsidRPr="0074458A" w:rsidRDefault="00ED2991" w:rsidP="00950D27">
            <w:pPr>
              <w:spacing w:line="228" w:lineRule="auto"/>
              <w:ind w:left="90" w:hanging="90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ограждение объекта и прилегающей территории, прогулочный двор, контрольно-пропускной пункт.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2.2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Основные требования к ко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структивным решениям и материалам несущих и огр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ждающих конструкций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Технические решения, принятые в документации, должны соответствовать требованиям энергетической эффективности, пред</w:t>
            </w:r>
            <w:r w:rsidRPr="0074458A">
              <w:rPr>
                <w:spacing w:val="-10"/>
                <w:sz w:val="22"/>
                <w:szCs w:val="22"/>
              </w:rPr>
              <w:t>у</w:t>
            </w:r>
            <w:r w:rsidRPr="0074458A">
              <w:rPr>
                <w:spacing w:val="-10"/>
                <w:sz w:val="22"/>
                <w:szCs w:val="22"/>
              </w:rPr>
              <w:t>смотренным Федеральным законом от 23.11.2009 №261-ФЗ «Об энергосбережении и повышении энергетической эффективности и о внесении изменений в отдельные законодательные акты Ро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сийской Федерации», требованиям строительных, экологич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ских, санитарно-гигиенических, противопожарных и других норм и правил, государственных стандартов, действующих на дату выпуска продукции, и обеспечивающих безопасную жизн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деятельности в период эксплуатации объекта при соблюдении предусмотренных в разработанной документации мероприятий в течение сроков, предусмотренных законодательством Росси</w:t>
            </w:r>
            <w:r w:rsidRPr="0074458A">
              <w:rPr>
                <w:spacing w:val="-10"/>
                <w:sz w:val="22"/>
                <w:szCs w:val="22"/>
              </w:rPr>
              <w:t>й</w:t>
            </w:r>
            <w:r w:rsidRPr="0074458A">
              <w:rPr>
                <w:spacing w:val="-10"/>
                <w:sz w:val="22"/>
                <w:szCs w:val="22"/>
              </w:rPr>
              <w:t>ской Федерации, а также ведомственных нормативных докуме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тов.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Для отделки применить современные отделочные материалы, имеющие соответствующие сертификаты, разрешающие их и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пользование на территории РФ, в том числе противопожарным нормам.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Административное здание включает в себя 2 блока: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  <w:u w:val="single"/>
              </w:rPr>
            </w:pPr>
            <w:r w:rsidRPr="0074458A">
              <w:rPr>
                <w:spacing w:val="-10"/>
                <w:sz w:val="22"/>
                <w:szCs w:val="22"/>
                <w:u w:val="single"/>
              </w:rPr>
              <w:t>Камерный блок: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Несущая система здания: бескаркасная с несущими кирпичн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>ми стенами;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Стены: конструкция многослойная -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1) наружный слой кирпич лицевой, внутренний слой – кирпич рядовой. Марку кирпича и раствора определить при проектир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вании;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proofErr w:type="gramStart"/>
            <w:r w:rsidRPr="0074458A">
              <w:rPr>
                <w:spacing w:val="-10"/>
                <w:sz w:val="22"/>
                <w:szCs w:val="22"/>
              </w:rPr>
              <w:t>2)утеплитель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– по согласованию с заказчиком,  толщину опред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лить расчетом.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Перекрытия и покрытия: сборные железобетонные плиты, м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нолитные участки.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Лестницы: сборные железобетонные лестничные марши и пл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 xml:space="preserve">щадки, либо бетонные ступени по металлическим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косоурам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. О</w:t>
            </w:r>
            <w:r w:rsidRPr="0074458A">
              <w:rPr>
                <w:spacing w:val="-10"/>
                <w:sz w:val="22"/>
                <w:szCs w:val="22"/>
              </w:rPr>
              <w:t>г</w:t>
            </w:r>
            <w:r w:rsidRPr="0074458A">
              <w:rPr>
                <w:spacing w:val="-10"/>
                <w:sz w:val="22"/>
                <w:szCs w:val="22"/>
              </w:rPr>
              <w:t>раждение лестниц – хромированные трубы.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Перемычки: сборные железобетонные.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  <w:u w:val="single"/>
              </w:rPr>
            </w:pPr>
            <w:r w:rsidRPr="0074458A">
              <w:rPr>
                <w:spacing w:val="-10"/>
                <w:sz w:val="22"/>
                <w:szCs w:val="22"/>
                <w:u w:val="single"/>
              </w:rPr>
              <w:t>Административный блок:</w:t>
            </w:r>
            <w:r w:rsidRPr="0074458A">
              <w:rPr>
                <w:spacing w:val="-10"/>
                <w:sz w:val="22"/>
                <w:szCs w:val="22"/>
              </w:rPr>
              <w:t xml:space="preserve">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Несущая система здания: сборно-монолитный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безригельный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рамно-связевой железобетонный каркас (система КБК)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Стены: конструкция многослойная: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1) наружный слой –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кирпич  лицевой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ГОСТ 530-2007 . Марку кирпича и раствора определить при проектировании;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2) утеплитель по согласованию с Заказчиком (толщину опред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лить расчетом) с устройством несъемной опалубки системы.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Перекрытия, колонны, диафрагмы жесткости: сборные жел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зобетонные системы КБК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  <w:u w:val="single"/>
              </w:rPr>
            </w:pPr>
            <w:r w:rsidRPr="0074458A">
              <w:rPr>
                <w:spacing w:val="-10"/>
                <w:sz w:val="22"/>
                <w:szCs w:val="22"/>
                <w:u w:val="single"/>
              </w:rPr>
              <w:t>В остальном по зданию: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Фундаменты: ленточные или свайные в соответствии с инж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нерно-геологическим и гидрогеологическим изысканиям.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Внутренние перегородки: кирпичные толщиной 380 мм (в кам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рах и медицинских изоляторах, кирпичные толщиной 120 мм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.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и из легких бетонных блоков.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 xml:space="preserve">Оконные блоки: запроектировать оконные блоки морозостойкого исполнения, с двухкамерным стеклопакетом (4-мм стекло) и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п</w:t>
            </w:r>
            <w:r w:rsidRPr="0074458A">
              <w:rPr>
                <w:spacing w:val="-10"/>
                <w:sz w:val="22"/>
                <w:szCs w:val="22"/>
              </w:rPr>
              <w:t>я</w:t>
            </w:r>
            <w:r w:rsidRPr="0074458A">
              <w:rPr>
                <w:spacing w:val="-10"/>
                <w:sz w:val="22"/>
                <w:szCs w:val="22"/>
              </w:rPr>
              <w:t>тикамерным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ПВХ переплетом. Фурнитура оконных блоков должна предусматривать поворотно-откидное открывание и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микропроветривание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. Оконная конструкция 3 класса защиты (высокая степень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защиты  объекта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от проникновения) - окно специальной конструкции с защитным остеклением класса Б1 и выше по ГОСТу Р 511136-2008 с наружными металлическими решетками изготовленными из стальных прутьев диаметром не менее 16 мм. образующих ячейки не более 150х150 мм и внутренними металлическими решетками изготовленными из стал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ных прутьев диаметром не менее 12 мм. образующих ячейки не более 150х150 мм. Сливы – оцинкованные с покрытием полиэ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тер. Откосы и подоконники в камерах и медицинских изоляторах – гладко оштукатуренные с закругленными углами. В адм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нистративных помещениях: подоконные доски – многокамерные панели ПВХ, откосы – сэндвич панель толщиной не менее 10 мм. Характеристики согласовать с Заказчиком.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Крыша и кровля – скатная, стропильная из листовых материалов, оцинкованных с покрытием полиэстер. Характеристики соглас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вать с Заказчиком.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Двери: наружные двери металлические в составе: дверная к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робка, стальная дверь, решетчатая дверь, по согласованному с Заказчиком.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Внутренние двери: металлические, деревянные, ПВХ.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Внутренняя система освещения: предусмотреть с применением диодных светильников.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Внутренняя отделка: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Внутреннюю отделку административных помещений и мест о</w:t>
            </w:r>
            <w:r w:rsidRPr="0074458A">
              <w:rPr>
                <w:spacing w:val="-10"/>
                <w:sz w:val="22"/>
                <w:szCs w:val="22"/>
              </w:rPr>
              <w:t>б</w:t>
            </w:r>
            <w:r w:rsidRPr="0074458A">
              <w:rPr>
                <w:spacing w:val="-10"/>
                <w:sz w:val="22"/>
                <w:szCs w:val="22"/>
              </w:rPr>
              <w:t xml:space="preserve">щего пользования выполнить в соответствии с санитарно-гигиеническими требованиями.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потолки: в камерах и медицинских изоляторах: водоэмульс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 xml:space="preserve">онная окраска белого цвета по предварительно подготовленной выровненной поверхности; в административных помещениях и по коридорам – подвесные потолки типа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Армстронг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; в кабинете начальника, холле, зале оперативных совещаний – подвесной потолок с эффектом звукопоглощения.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стены: в камерах и медицинских изоляторах: водоэмульсио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 xml:space="preserve">ная окраска белого цвета по предварительно подготовленной выровненной поверхности; в административных помещениях – улучшенные бумажные обои по предварительно подготовленной выровненной поверхности; в санузлах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и  помещениях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с влажным режимом: кафельная плитка. Острые углы и выступы в камерах должны округлятся.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полы: в камерах и медицинских изоляторах следует устраивать дощатые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беспустотные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с креплением к трапециевидным лагам, в топленным в бетонное основание; в кабинетах – полукоммерч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 xml:space="preserve">ский линолеум; в санузлах, коридорах и помещениях с влажным режимом –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керамогранитная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плитка;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Ведомость отделки помещений обязательно представляется З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казчику на согласование.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Необходимо представить цветовое решение фасада для соглас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вания с главным архитектором города Абакана и Заказчиком.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Особые условия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выполнить пространственный расчет несущих конструкций зд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ния с учетом сейсмического воздействия интенсивностью 7 ба</w:t>
            </w:r>
            <w:r w:rsidRPr="0074458A">
              <w:rPr>
                <w:spacing w:val="-10"/>
                <w:sz w:val="22"/>
                <w:szCs w:val="22"/>
              </w:rPr>
              <w:t>л</w:t>
            </w:r>
            <w:r w:rsidRPr="0074458A">
              <w:rPr>
                <w:spacing w:val="-10"/>
                <w:sz w:val="22"/>
                <w:szCs w:val="22"/>
              </w:rPr>
              <w:t>лов, в соответствии с требованиями действующих нормативно-правовых актов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2.4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Технические решения и об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рудование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Все применяемое оборудование должно иметь соответствующие сертификаты, разрешающие их использование на территории РФ. Все оборудование согласовывается Заказчиком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Инженерные системы 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Предусмотреть все виды современного, преимущественно отечественного, оборудования с учетом энергосберегающих техн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логий: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приточно-вытяжная система вентиляции с механическим п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буждением в камерах, медицинских изоляторах, пищеблоке; в санузлах и прочих административных помещениях – вытяжная с естественным побуждением;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горячее и холодное водоснабжение стояки – магистрали - труба стальная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водогазопроводная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, разводка - полипропиленовые тр</w:t>
            </w:r>
            <w:r w:rsidRPr="0074458A">
              <w:rPr>
                <w:spacing w:val="-10"/>
                <w:sz w:val="22"/>
                <w:szCs w:val="22"/>
              </w:rPr>
              <w:t>у</w:t>
            </w:r>
            <w:r w:rsidRPr="0074458A">
              <w:rPr>
                <w:spacing w:val="-10"/>
                <w:sz w:val="22"/>
                <w:szCs w:val="22"/>
              </w:rPr>
              <w:t>бы. Предусмотреть отключающую арматуру на врезках в стояки, в перекрытиях – гильзы;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приборы учета холодного и горячего водоснабжения, отопл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ния и электроэнергии;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отопление – чугунные радиаторы в камерах и медицинских изоляторах, алюминиевые в административных помещениях, розлив и стояки - труба стальная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водогазопроводная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, в перекр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 xml:space="preserve">тиях - гильзы. 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канализация из полипропиленовых труб (внутренняя);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канализация наружная - по техническим условиям;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организованный водосток;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электроснабжение: штепсельные розетки с заземляющим ко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тактом, с высотой установки 0,4 м от пола, выключатели 1,0м от пола. Распределительные и питающие сети выполнить расцв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ченными проводами с медными жилами. Все электрооборудов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 xml:space="preserve">ние: главный электрощит в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электрощитовой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, лестничные щитки - отечественного производства (корпуса щитов). Предусмотреть резервный источник электроснабжения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 xml:space="preserve">– 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дизельэлектроста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цию</w:t>
            </w:r>
            <w:proofErr w:type="spellEnd"/>
            <w:proofErr w:type="gramEnd"/>
            <w:r w:rsidRPr="0074458A">
              <w:rPr>
                <w:spacing w:val="-10"/>
                <w:sz w:val="22"/>
                <w:szCs w:val="22"/>
              </w:rPr>
              <w:t>.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 здании предусмотреть размещение автоматизированного и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 xml:space="preserve">дивидуального теплового пункта, где установить оборудование,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запорно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- регулирующую арматуру, приборы учёта и контроля тепловой энергии.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Помещение индивидуального теплового пункта разместить в подвале здания. В его составе иметь помещение ввода теплосети и помещение индивидуального теплового пункта. Пол помещ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 xml:space="preserve">ния индивидуального теплового пункта в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проекте  предусмо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реть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с уклоном в сторону канализационного приямка для сбора протечек в случае аварии технологического оборудования. 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Отделка ограждающих конструкций теплового пункта должна выполняться из долговечных, влагостойких материалов, допу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 xml:space="preserve">кающих легкую очистку. </w:t>
            </w:r>
          </w:p>
          <w:p w:rsidR="00ED2991" w:rsidRPr="0074458A" w:rsidRDefault="00ED2991" w:rsidP="00950D27">
            <w:pPr>
              <w:spacing w:line="228" w:lineRule="auto"/>
              <w:ind w:left="4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Все принимаемое оборудование, материалы и изделия должны иметь сертификат РФ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Запроектировать тревожную, охранную, вызывную и пожарную сигнализацию. Месторасположение пульта (пультов) уточнить с Заказчиком. Предусмотреть систему управления и контроля до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тупа как на территорию, по территории, так и внутри зданий, наружное и внутреннее видеонаблюдение с распознаванием лиц, места установки камер и аппаратуру уточнить с Заказчиком.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Запроектировать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спринклерную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систему для соответствующих помещений.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Запроектировать систему речевого оповещения.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Запроектировать радиофикацию здания (по техническим усл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виям оператора предоставляющего данную услугу), и внутре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них помещений. Количество и места расположения радиоточек согласовать с Заказчиком.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Запроектировать внутреннюю цифровую АТС (тип и специф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кацию АТС согласовать с Заказчиком). В проектируемом здании предусмотреть внутреннюю разводку слаботочной телефонной сети (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количество  и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места расположения точек согласовать с З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казчиком).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Предусмотреть специальные изолированные и технически укр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пленные помещения с системой охлаждения для размещения серверного оборудования единая информационно- телекомм</w:t>
            </w:r>
            <w:r w:rsidRPr="0074458A">
              <w:rPr>
                <w:spacing w:val="-10"/>
                <w:sz w:val="22"/>
                <w:szCs w:val="22"/>
              </w:rPr>
              <w:t>у</w:t>
            </w:r>
            <w:r w:rsidRPr="0074458A">
              <w:rPr>
                <w:spacing w:val="-10"/>
                <w:sz w:val="22"/>
                <w:szCs w:val="22"/>
              </w:rPr>
              <w:t>никационная система МВД России – уточнить с Заказчиком.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Наружные инженерные сети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Запроектировать по техническим условиям эксплуатирующих организаций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2.7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proofErr w:type="spellStart"/>
            <w:r w:rsidRPr="0074458A">
              <w:rPr>
                <w:spacing w:val="-10"/>
                <w:sz w:val="22"/>
                <w:szCs w:val="22"/>
              </w:rPr>
              <w:t>Молниезащита</w:t>
            </w:r>
            <w:proofErr w:type="spellEnd"/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Устроить систему молниеотводов. Уровень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молниезащиты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для здания определить в соответствии с СО 153-34.21.122-2003 ("Инструкция по устройству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молниезащиты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зданий, сооружений и промышленных коммуникаций сооружений") и другими но</w:t>
            </w:r>
            <w:r w:rsidRPr="0074458A">
              <w:rPr>
                <w:spacing w:val="-10"/>
                <w:sz w:val="22"/>
                <w:szCs w:val="22"/>
              </w:rPr>
              <w:t>р</w:t>
            </w:r>
            <w:r w:rsidRPr="0074458A">
              <w:rPr>
                <w:spacing w:val="-10"/>
                <w:sz w:val="22"/>
                <w:szCs w:val="22"/>
              </w:rPr>
              <w:t>мативными документами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2.8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Требования по утилизации строительных отходов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 соответствии с Федеральным законом от 24.06.1998 № 89-ФЗ «Об отходах производства и потребления», а также с нормати</w:t>
            </w:r>
            <w:r w:rsidRPr="0074458A">
              <w:rPr>
                <w:spacing w:val="-10"/>
                <w:sz w:val="22"/>
                <w:szCs w:val="22"/>
              </w:rPr>
              <w:t>в</w:t>
            </w:r>
            <w:r w:rsidRPr="0074458A">
              <w:rPr>
                <w:spacing w:val="-10"/>
                <w:sz w:val="22"/>
                <w:szCs w:val="22"/>
              </w:rPr>
              <w:t>ными правовыми актами, действующими на территории Респу</w:t>
            </w:r>
            <w:r w:rsidRPr="0074458A">
              <w:rPr>
                <w:spacing w:val="-10"/>
                <w:sz w:val="22"/>
                <w:szCs w:val="22"/>
              </w:rPr>
              <w:t>б</w:t>
            </w:r>
            <w:r w:rsidRPr="0074458A">
              <w:rPr>
                <w:spacing w:val="-10"/>
                <w:sz w:val="22"/>
                <w:szCs w:val="22"/>
              </w:rPr>
              <w:t>лики Хакасия.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2.9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Мероприятия по обеспеч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 xml:space="preserve">нию доступа инвалидов 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Раздел «Мероприятия по обеспечению доступа инвалидов»,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 соответствие требованиями нормативно правовых актов, до</w:t>
            </w:r>
            <w:r w:rsidRPr="0074458A">
              <w:rPr>
                <w:spacing w:val="-10"/>
                <w:sz w:val="22"/>
                <w:szCs w:val="22"/>
              </w:rPr>
              <w:t>л</w:t>
            </w:r>
            <w:r w:rsidRPr="0074458A">
              <w:rPr>
                <w:spacing w:val="-10"/>
                <w:sz w:val="22"/>
                <w:szCs w:val="22"/>
              </w:rPr>
              <w:t>жен предусматривать доступ посетителей в здание, администр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тивные помещения и специально оборудованные санузлы, а также доступ арестованных в административном порядке в зд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ние, бытовые помещения специальный приемник для содерж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ния лиц арестованных в административном порядке и 2 спец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ально оборудованные камеры.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2.10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Требования к составу пр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ектной документации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Состав и оформление документации принять в соответствии с «Положением о составе разделов проектной документации, тр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бованиях к их содержанию», утвержденным Постановлением Правительства Российской Федерации от 16.02.2008 № 87, ГОСТ Р 21.1101-2013 «Система проектной документации для строительства. Основные требования к проектной и рабочей д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 xml:space="preserve">кументации», Федеральным законом от 30.12.2009 №384-ФЗ «Технический регламент о безопасности зданий и сооружений», Постановлением Правительства Российской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Федерации  от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26.12.2014 №1521.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Проектную документацию выполнить с проработкой основных сечений, схем, узлов, составлением спецификаций в объеме н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 xml:space="preserve">обходимом для строительства.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Проектная документация, а также результаты инженерных из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 xml:space="preserve">сканий предоставляются Заказчику в </w:t>
            </w:r>
            <w:r w:rsidRPr="0074458A">
              <w:rPr>
                <w:spacing w:val="-10"/>
                <w:sz w:val="22"/>
                <w:szCs w:val="22"/>
                <w:u w:val="single"/>
              </w:rPr>
              <w:t>5 (пяти) экземплярах</w:t>
            </w:r>
            <w:r w:rsidRPr="0074458A">
              <w:rPr>
                <w:spacing w:val="-10"/>
                <w:sz w:val="22"/>
                <w:szCs w:val="22"/>
              </w:rPr>
              <w:t xml:space="preserve"> на бумажном носителе и в электронном виде (на 2-х носителях):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текстовая и графическая часть проекта – в форматах PDF, </w:t>
            </w:r>
            <w:r w:rsidRPr="0074458A">
              <w:rPr>
                <w:spacing w:val="-10"/>
                <w:sz w:val="22"/>
                <w:szCs w:val="22"/>
                <w:lang w:val="en-US"/>
              </w:rPr>
              <w:t>MS</w:t>
            </w:r>
            <w:r w:rsidRPr="0074458A">
              <w:rPr>
                <w:spacing w:val="-10"/>
                <w:sz w:val="22"/>
                <w:szCs w:val="22"/>
              </w:rPr>
              <w:t xml:space="preserve"> </w:t>
            </w:r>
            <w:r w:rsidRPr="0074458A">
              <w:rPr>
                <w:spacing w:val="-10"/>
                <w:sz w:val="22"/>
                <w:szCs w:val="22"/>
                <w:lang w:val="en-US"/>
              </w:rPr>
              <w:t>Word</w:t>
            </w:r>
            <w:r w:rsidRPr="0074458A">
              <w:rPr>
                <w:spacing w:val="-10"/>
                <w:sz w:val="22"/>
                <w:szCs w:val="22"/>
              </w:rPr>
              <w:t>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чертежи в PDF;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2.11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Требования к разработке сметной документации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При составлении сметной документации руководствоваться тр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бованиями: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 Сметная документация должна представляться заказчику в составе: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сводного сметного расчета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объектного сметного расчета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локальных сметных расчетов.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 Сметная документация должна быть составлена в двух уро</w:t>
            </w:r>
            <w:r w:rsidRPr="0074458A">
              <w:rPr>
                <w:spacing w:val="-10"/>
                <w:sz w:val="22"/>
                <w:szCs w:val="22"/>
              </w:rPr>
              <w:t>в</w:t>
            </w:r>
            <w:r w:rsidRPr="0074458A">
              <w:rPr>
                <w:spacing w:val="-10"/>
                <w:sz w:val="22"/>
                <w:szCs w:val="22"/>
              </w:rPr>
              <w:t>нях цен: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в федеральной сметно-нормативной базе ФЕР-2001 в редакции 2014 г.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в текущем, с применением ежеквартальных индексов измен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ния сметной стоимости СМР к базисным ценам для Республики Хакасия на момент составления.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 При определении величины накладных расходов руков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дствоваться МДС 81-33.2004 по видам строительном монтажных работ, сметной прибыли – МДС 81-25.2001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4. Применение коэффициентов в сметной документации должно быть обосновано (обязательны ссылки на технические части, вводные указания сборников или другие нормативные докуме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 xml:space="preserve">ты, отражение </w:t>
            </w:r>
            <w:r w:rsidRPr="0074458A">
              <w:rPr>
                <w:spacing w:val="-10"/>
                <w:sz w:val="22"/>
                <w:szCs w:val="22"/>
              </w:rPr>
              <w:lastRenderedPageBreak/>
              <w:t>в проекте особых условий труда (стесненных, вредных и т.д.) если таковые имеются.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5. Стоимость оборудования, материалов, изделий и констру</w:t>
            </w:r>
            <w:r w:rsidRPr="0074458A">
              <w:rPr>
                <w:spacing w:val="-10"/>
                <w:sz w:val="22"/>
                <w:szCs w:val="22"/>
              </w:rPr>
              <w:t>к</w:t>
            </w:r>
            <w:r w:rsidRPr="0074458A">
              <w:rPr>
                <w:spacing w:val="-10"/>
                <w:sz w:val="22"/>
                <w:szCs w:val="22"/>
              </w:rPr>
              <w:t>ций, не включенных, либо не имеющих аналогов в сметных нормативах, определяется в текущем уровне цен на основании информации о текущей стоимости применяемых оборудования, материалов, изделий и конструкций, представленной проект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ровщиком и согласованной заказчиком. При этом проектиро</w:t>
            </w:r>
            <w:r w:rsidRPr="0074458A">
              <w:rPr>
                <w:spacing w:val="-10"/>
                <w:sz w:val="22"/>
                <w:szCs w:val="22"/>
              </w:rPr>
              <w:t>в</w:t>
            </w:r>
            <w:r w:rsidRPr="0074458A">
              <w:rPr>
                <w:spacing w:val="-10"/>
                <w:sz w:val="22"/>
                <w:szCs w:val="22"/>
              </w:rPr>
              <w:t>щик производит сопоставительный анализ стоимости каждой единицы товара в табличной форме путем вычисления средн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арифметической цены с указанием стоимости производителя (поставщика) (информация не менее чем от 3-х производителей (поставщиков) с приложением в виде прайс-листов, коммерческих предложений и т.п.). В локальный сметный расчет включается среднеарифметическая стоимость согласно сопоставител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ному анализу, максимально выгодная с учетом доставки до г. Абакана республики Хакасия.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Все прайс-листы должны быть пронумерованы, сшиты в отдел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ный том с указанием на каждом прайс-листе квартала и года с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стояния цены;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6. В сводный сметный расчет стоимости строительства объекта включить раздел «Дополнительные затраты» с указанием поз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ций: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«затраты на изготовление технических паспортов, технических планов и кадастровых паспортов»;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«затраты на работы центра гигиены и эпидемиологии».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Указанные работы обосновать расчетами и калькуляциями.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7. Проектно-сметная документация не должна содержать указ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ние на товарные знаки, знаки обслуживания, фирменные наим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нования, патенты, полезные модели, промышленные образцы, наименование места происхождения товара или наименование производителя кроме случаев, предусмотренных статьей 33 Ф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дерального закона от 05.04.2013 № 44-ФЗ. При указании в пр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ектной сметной документации ссылки на товарные знаки они должны сопровождаться словами «или эквивалент» с обязател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 xml:space="preserve">ным указанием технических характеристик. 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8.При экспорте локальных смет в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Excel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необходимо показывать графу «материалы», итоги по разделам и итоги по смете дол</w:t>
            </w:r>
            <w:r w:rsidRPr="0074458A">
              <w:rPr>
                <w:spacing w:val="-10"/>
                <w:sz w:val="22"/>
                <w:szCs w:val="22"/>
              </w:rPr>
              <w:t>ж</w:t>
            </w:r>
            <w:r w:rsidRPr="0074458A">
              <w:rPr>
                <w:spacing w:val="-10"/>
                <w:sz w:val="22"/>
                <w:szCs w:val="22"/>
              </w:rPr>
              <w:t>ны быть «раскрыты» и читаемы.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Сметную документацию предоставлять в электронном виде в программе ГРАНД Смета,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Exсel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, XML.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Перечень основных норм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тивных документов, в соо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ветствии с требованиями к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торых необходимо выпо</w:t>
            </w:r>
            <w:r w:rsidRPr="0074458A">
              <w:rPr>
                <w:spacing w:val="-10"/>
                <w:sz w:val="22"/>
                <w:szCs w:val="22"/>
              </w:rPr>
              <w:t>л</w:t>
            </w:r>
            <w:r w:rsidRPr="0074458A">
              <w:rPr>
                <w:spacing w:val="-10"/>
                <w:sz w:val="22"/>
                <w:szCs w:val="22"/>
              </w:rPr>
              <w:t>нить инженерные изыскания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СНиП 11-02-96" Инженерные изыскания для строительства. О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новные положения" CП 11-105-97"Инженерно-геологические изыскания для строительства"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2.13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Ответственность за подг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 xml:space="preserve">товку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проектной  документ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ции</w:t>
            </w:r>
            <w:proofErr w:type="gramEnd"/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Проектная организация по контракту на выполнение проектных и изыскательских работ несет ответственность: за просрочку и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полнения контракта, ненадлежащее выполнение проектной д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кументации и изыскательских работ, включая недостатки, обн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руженные впоследствии в ходе строительства, а также в проце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се эксплуатации объекта, созданного на основе разработанной проектной документации и данных изыскательских работ. При обнаружении недостатков в проектной документации или в из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>скательских работах подрядчик по требованию Заказчика обязан безвозмездно переделать проектную документацию и, соответственно, произвести необходимые дополнительные изыскател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ские работы, в установленные Заказчиком сроки.</w:t>
            </w:r>
          </w:p>
        </w:tc>
      </w:tr>
      <w:tr w:rsidR="00ED2991" w:rsidRPr="0074458A" w:rsidTr="00950D27">
        <w:tc>
          <w:tcPr>
            <w:tcW w:w="5000" w:type="pct"/>
            <w:gridSpan w:val="3"/>
          </w:tcPr>
          <w:p w:rsidR="00ED2991" w:rsidRPr="0074458A" w:rsidRDefault="00ED2991" w:rsidP="00950D27">
            <w:pPr>
              <w:spacing w:line="228" w:lineRule="auto"/>
              <w:jc w:val="both"/>
              <w:rPr>
                <w:b/>
                <w:spacing w:val="-10"/>
                <w:sz w:val="22"/>
                <w:szCs w:val="22"/>
              </w:rPr>
            </w:pPr>
            <w:r w:rsidRPr="0074458A">
              <w:rPr>
                <w:b/>
                <w:spacing w:val="-10"/>
                <w:sz w:val="22"/>
                <w:szCs w:val="22"/>
              </w:rPr>
              <w:t>3. Дополнительные требования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3.1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Применяемые нормативно-правовые акты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При проектировании обязательно учесть требования: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- Федерального закона от 26.04.2013 №67-ФЗ «О порядке отб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>вания административного ареста»;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приказов МВД России: от 25.07.2011 № 876, от 31.12.2014 № 1152, от 10.02.2014 № 83, от 12.01.2009 № 13;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СП 12-95 МВД России «Инструкция по проектированию об</w:t>
            </w:r>
            <w:r w:rsidRPr="0074458A">
              <w:rPr>
                <w:spacing w:val="-10"/>
                <w:sz w:val="22"/>
                <w:szCs w:val="22"/>
              </w:rPr>
              <w:t>ъ</w:t>
            </w:r>
            <w:r w:rsidRPr="0074458A">
              <w:rPr>
                <w:spacing w:val="-10"/>
                <w:sz w:val="22"/>
                <w:szCs w:val="22"/>
              </w:rPr>
              <w:t>ектов органов внутренних дел (милиции) МВД России»;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РД 78.36.003-2002 МВД России (Руководящий документ) «И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 xml:space="preserve">женерно-техническая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укрепленность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. Технические средства о</w:t>
            </w:r>
            <w:r w:rsidRPr="0074458A">
              <w:rPr>
                <w:spacing w:val="-10"/>
                <w:sz w:val="22"/>
                <w:szCs w:val="22"/>
              </w:rPr>
              <w:t>х</w:t>
            </w:r>
            <w:r w:rsidRPr="0074458A">
              <w:rPr>
                <w:spacing w:val="-10"/>
                <w:sz w:val="22"/>
                <w:szCs w:val="22"/>
              </w:rPr>
              <w:t>раны. Требования и нормы проектирования по защите объектов от преступных посягательств».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Инженерно-технические м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роприятия ГО. Мероприятия по предупреждению чрезв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>чайных ситуаций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Определяется проектом в соответствии с действующими Но</w:t>
            </w:r>
            <w:r w:rsidRPr="0074458A">
              <w:rPr>
                <w:spacing w:val="-10"/>
                <w:sz w:val="22"/>
                <w:szCs w:val="22"/>
              </w:rPr>
              <w:t>р</w:t>
            </w:r>
            <w:r w:rsidRPr="0074458A">
              <w:rPr>
                <w:spacing w:val="-10"/>
                <w:sz w:val="22"/>
                <w:szCs w:val="22"/>
              </w:rPr>
              <w:t>мами и Правилами, исходными данными и требованиями, в</w:t>
            </w:r>
            <w:r w:rsidRPr="0074458A">
              <w:rPr>
                <w:spacing w:val="-10"/>
                <w:sz w:val="22"/>
                <w:szCs w:val="22"/>
              </w:rPr>
              <w:t>ы</w:t>
            </w:r>
            <w:r w:rsidRPr="0074458A">
              <w:rPr>
                <w:spacing w:val="-10"/>
                <w:sz w:val="22"/>
                <w:szCs w:val="22"/>
              </w:rPr>
              <w:t>данными МЧС России по республике Хакасия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3.3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Экологические и санитарно-эпидемиологические треб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вания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Обеспечить выполнение в проекте, в том числе, в разделе «П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речень мероприятий по охране окружающей среды» в соотве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ствии с требованиями действующего природоохранного закон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 xml:space="preserve">дательства и законодательства в области санитарно-эпидемиологического благополучия населения и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другими дейс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>вующими Нормами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и Правилами.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Санитарно- эпидемиологическое заключение получает Подря</w:t>
            </w:r>
            <w:r w:rsidRPr="0074458A">
              <w:rPr>
                <w:spacing w:val="-10"/>
                <w:sz w:val="22"/>
                <w:szCs w:val="22"/>
              </w:rPr>
              <w:t>д</w:t>
            </w:r>
            <w:r w:rsidRPr="0074458A">
              <w:rPr>
                <w:spacing w:val="-10"/>
                <w:sz w:val="22"/>
                <w:szCs w:val="22"/>
              </w:rPr>
              <w:t>чик с оформлением документов в соответствии со ст.12 Фед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рального закона от 30.03.1999 № 52-ФЗ.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3.4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Указания о необходимых согласованиях проектной д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кументации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Все, что не предусмотрено настоящим заданием подлежит согласованию с Заказчиком. Архитектурные решения, генерал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ный план Подрядчик согласовывает с Департаментом град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строительства, архитектуры и землеустройства. Инженерные сети согласовываются Подрядчиком с эксплуатирующими орг</w:t>
            </w:r>
            <w:r w:rsidRPr="0074458A">
              <w:rPr>
                <w:spacing w:val="-10"/>
                <w:sz w:val="22"/>
                <w:szCs w:val="22"/>
              </w:rPr>
              <w:t>а</w:t>
            </w:r>
            <w:r w:rsidRPr="0074458A">
              <w:rPr>
                <w:spacing w:val="-10"/>
                <w:sz w:val="22"/>
                <w:szCs w:val="22"/>
              </w:rPr>
              <w:t>низациями.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Получение положительного заключения государственной эк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пертизы проектной документации и результатов инженерных изысканий, а также заключения о проверке достоверности сметной стоимости объекта капитального строительства проводятся за счет средств Заказчика (данные мероприятия оплачиваются заказчиком)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3.5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proofErr w:type="spellStart"/>
            <w:r w:rsidRPr="0074458A">
              <w:rPr>
                <w:spacing w:val="-10"/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Мероприятия выполняются в соответствии с действующими нормативно-правовыми актами с разработкой паспорта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энерг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эффективности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>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В целях экономии энергоресурсов в проекте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предусмотреть  следующие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мероприятия: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 xml:space="preserve">- ограждающие конструкции здания выполнить </w:t>
            </w:r>
            <w:proofErr w:type="gramStart"/>
            <w:r w:rsidRPr="0074458A">
              <w:rPr>
                <w:spacing w:val="-10"/>
                <w:sz w:val="22"/>
                <w:szCs w:val="22"/>
              </w:rPr>
              <w:t>согласно  треб</w:t>
            </w:r>
            <w:r w:rsidRPr="0074458A">
              <w:rPr>
                <w:spacing w:val="-10"/>
                <w:sz w:val="22"/>
                <w:szCs w:val="22"/>
              </w:rPr>
              <w:t>о</w:t>
            </w:r>
            <w:r w:rsidRPr="0074458A">
              <w:rPr>
                <w:spacing w:val="-10"/>
                <w:sz w:val="22"/>
                <w:szCs w:val="22"/>
              </w:rPr>
              <w:t>ваниям</w:t>
            </w:r>
            <w:proofErr w:type="gramEnd"/>
            <w:r w:rsidRPr="0074458A">
              <w:rPr>
                <w:spacing w:val="-10"/>
                <w:sz w:val="22"/>
                <w:szCs w:val="22"/>
              </w:rPr>
              <w:t xml:space="preserve"> СНиП 23-02-2003 «Тепловая защита зданий»;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тепловой пункт оснастить приборами автоматики, позволя</w:t>
            </w:r>
            <w:r w:rsidRPr="0074458A">
              <w:rPr>
                <w:spacing w:val="-10"/>
                <w:sz w:val="22"/>
                <w:szCs w:val="22"/>
              </w:rPr>
              <w:t>ю</w:t>
            </w:r>
            <w:r w:rsidRPr="0074458A">
              <w:rPr>
                <w:spacing w:val="-10"/>
                <w:sz w:val="22"/>
                <w:szCs w:val="22"/>
              </w:rPr>
              <w:t>щими регулировать отпуск тепла в зависимости от температуры наружного воздуха;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- установить приборы учета тепла.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3.5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Предельная стоимость об</w:t>
            </w:r>
            <w:r w:rsidRPr="0074458A">
              <w:rPr>
                <w:spacing w:val="-10"/>
                <w:sz w:val="22"/>
                <w:szCs w:val="22"/>
              </w:rPr>
              <w:t>ъ</w:t>
            </w:r>
            <w:r w:rsidRPr="0074458A">
              <w:rPr>
                <w:spacing w:val="-10"/>
                <w:sz w:val="22"/>
                <w:szCs w:val="22"/>
              </w:rPr>
              <w:t>екта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Предельная стоимость объекта не должна превышать 282,64 млн. рублей в ценах соответствующих лет (с учетом инфляции), установленная в рамках средств федерального бюджета, выд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ленных на реализацию инвестиционного проекта по строител</w:t>
            </w:r>
            <w:r w:rsidRPr="0074458A">
              <w:rPr>
                <w:spacing w:val="-10"/>
                <w:sz w:val="22"/>
                <w:szCs w:val="22"/>
              </w:rPr>
              <w:t>ь</w:t>
            </w:r>
            <w:r w:rsidRPr="0074458A">
              <w:rPr>
                <w:spacing w:val="-10"/>
                <w:sz w:val="22"/>
                <w:szCs w:val="22"/>
              </w:rPr>
              <w:t>ству объекта капитального строительства в соответствии с фед</w:t>
            </w:r>
            <w:r w:rsidRPr="0074458A">
              <w:rPr>
                <w:spacing w:val="-10"/>
                <w:sz w:val="22"/>
                <w:szCs w:val="22"/>
              </w:rPr>
              <w:t>е</w:t>
            </w:r>
            <w:r w:rsidRPr="0074458A">
              <w:rPr>
                <w:spacing w:val="-10"/>
                <w:sz w:val="22"/>
                <w:szCs w:val="22"/>
              </w:rPr>
              <w:t>ральной адресной инвестиционной программой</w:t>
            </w:r>
          </w:p>
        </w:tc>
      </w:tr>
      <w:tr w:rsidR="00ED2991" w:rsidRPr="0074458A" w:rsidTr="00950D27">
        <w:tc>
          <w:tcPr>
            <w:tcW w:w="238" w:type="pct"/>
          </w:tcPr>
          <w:p w:rsidR="00ED2991" w:rsidRPr="0074458A" w:rsidRDefault="00ED2991" w:rsidP="00950D27">
            <w:pPr>
              <w:spacing w:line="228" w:lineRule="auto"/>
              <w:ind w:left="-142" w:right="-110"/>
              <w:jc w:val="center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3.6</w:t>
            </w:r>
          </w:p>
        </w:tc>
        <w:tc>
          <w:tcPr>
            <w:tcW w:w="1545" w:type="pct"/>
          </w:tcPr>
          <w:p w:rsidR="00ED2991" w:rsidRPr="0074458A" w:rsidRDefault="00ED2991" w:rsidP="00950D27">
            <w:pPr>
              <w:spacing w:line="228" w:lineRule="auto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Прочие обязанности Подря</w:t>
            </w:r>
            <w:r w:rsidRPr="0074458A">
              <w:rPr>
                <w:spacing w:val="-10"/>
                <w:sz w:val="22"/>
                <w:szCs w:val="22"/>
              </w:rPr>
              <w:t>д</w:t>
            </w:r>
            <w:r w:rsidRPr="0074458A">
              <w:rPr>
                <w:spacing w:val="-10"/>
                <w:sz w:val="22"/>
                <w:szCs w:val="22"/>
              </w:rPr>
              <w:t>чика</w:t>
            </w:r>
          </w:p>
        </w:tc>
        <w:tc>
          <w:tcPr>
            <w:tcW w:w="3217" w:type="pct"/>
          </w:tcPr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1. Подрядчик обязан принимать непосредственное участие в представлении документов по доверенности МВД по Республ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ке Хакасия в учреждении, осуществляющем государственную экспертизу, исправлений, замечаний, изготовлении дополн</w:t>
            </w:r>
            <w:r w:rsidRPr="0074458A">
              <w:rPr>
                <w:spacing w:val="-10"/>
                <w:sz w:val="22"/>
                <w:szCs w:val="22"/>
              </w:rPr>
              <w:t>и</w:t>
            </w:r>
            <w:r w:rsidRPr="0074458A">
              <w:rPr>
                <w:spacing w:val="-10"/>
                <w:sz w:val="22"/>
                <w:szCs w:val="22"/>
              </w:rPr>
              <w:t>тельных документов и т.п. по требованию Заказчика в устано</w:t>
            </w:r>
            <w:r w:rsidRPr="0074458A">
              <w:rPr>
                <w:spacing w:val="-10"/>
                <w:sz w:val="22"/>
                <w:szCs w:val="22"/>
              </w:rPr>
              <w:t>в</w:t>
            </w:r>
            <w:r w:rsidRPr="0074458A">
              <w:rPr>
                <w:spacing w:val="-10"/>
                <w:sz w:val="22"/>
                <w:szCs w:val="22"/>
              </w:rPr>
              <w:t>ленные Заказчиком сроки.</w:t>
            </w:r>
          </w:p>
          <w:p w:rsidR="00ED2991" w:rsidRPr="0074458A" w:rsidRDefault="00ED2991" w:rsidP="00950D27">
            <w:pPr>
              <w:spacing w:line="228" w:lineRule="auto"/>
              <w:jc w:val="both"/>
              <w:rPr>
                <w:spacing w:val="-10"/>
                <w:sz w:val="22"/>
                <w:szCs w:val="22"/>
              </w:rPr>
            </w:pPr>
            <w:r w:rsidRPr="0074458A">
              <w:rPr>
                <w:spacing w:val="-10"/>
                <w:sz w:val="22"/>
                <w:szCs w:val="22"/>
              </w:rPr>
              <w:t>2. Подрядчик должен быть либо обладателем исключительных (имущественных) прав на использование документации «Конс</w:t>
            </w:r>
            <w:r w:rsidRPr="0074458A">
              <w:rPr>
                <w:spacing w:val="-10"/>
                <w:sz w:val="22"/>
                <w:szCs w:val="22"/>
              </w:rPr>
              <w:t>т</w:t>
            </w:r>
            <w:r w:rsidRPr="0074458A">
              <w:rPr>
                <w:spacing w:val="-10"/>
                <w:sz w:val="22"/>
                <w:szCs w:val="22"/>
              </w:rPr>
              <w:t xml:space="preserve">рукции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безригельного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каркаса для многоэтажных жилых и о</w:t>
            </w:r>
            <w:r w:rsidRPr="0074458A">
              <w:rPr>
                <w:spacing w:val="-10"/>
                <w:sz w:val="22"/>
                <w:szCs w:val="22"/>
              </w:rPr>
              <w:t>б</w:t>
            </w:r>
            <w:r w:rsidRPr="0074458A">
              <w:rPr>
                <w:spacing w:val="-10"/>
                <w:sz w:val="22"/>
                <w:szCs w:val="22"/>
              </w:rPr>
              <w:t>щественных зданий» (документации системы КБК), либо до</w:t>
            </w:r>
            <w:r w:rsidRPr="0074458A">
              <w:rPr>
                <w:spacing w:val="-10"/>
                <w:sz w:val="22"/>
                <w:szCs w:val="22"/>
              </w:rPr>
              <w:t>л</w:t>
            </w:r>
            <w:r w:rsidRPr="0074458A">
              <w:rPr>
                <w:spacing w:val="-10"/>
                <w:sz w:val="22"/>
                <w:szCs w:val="22"/>
              </w:rPr>
              <w:t xml:space="preserve">жен </w:t>
            </w:r>
            <w:r w:rsidRPr="0074458A">
              <w:rPr>
                <w:spacing w:val="-10"/>
                <w:sz w:val="22"/>
                <w:szCs w:val="22"/>
              </w:rPr>
              <w:lastRenderedPageBreak/>
              <w:t>иметь действующую неисключительную лицензию на право использования документации системы КБК на территории Ре</w:t>
            </w:r>
            <w:r w:rsidRPr="0074458A">
              <w:rPr>
                <w:spacing w:val="-10"/>
                <w:sz w:val="22"/>
                <w:szCs w:val="22"/>
              </w:rPr>
              <w:t>с</w:t>
            </w:r>
            <w:r w:rsidRPr="0074458A">
              <w:rPr>
                <w:spacing w:val="-10"/>
                <w:sz w:val="22"/>
                <w:szCs w:val="22"/>
              </w:rPr>
              <w:t>публики Хакасия (действующий лицензионный договор, закл</w:t>
            </w:r>
            <w:r w:rsidRPr="0074458A">
              <w:rPr>
                <w:spacing w:val="-10"/>
                <w:sz w:val="22"/>
                <w:szCs w:val="22"/>
              </w:rPr>
              <w:t>ю</w:t>
            </w:r>
            <w:r w:rsidRPr="0074458A">
              <w:rPr>
                <w:spacing w:val="-10"/>
                <w:sz w:val="22"/>
                <w:szCs w:val="22"/>
              </w:rPr>
              <w:t xml:space="preserve">ченный между Подрядчиком и обладателем исключительных (имущественных) прав на использование документации «Конструкции </w:t>
            </w:r>
            <w:proofErr w:type="spellStart"/>
            <w:r w:rsidRPr="0074458A">
              <w:rPr>
                <w:spacing w:val="-10"/>
                <w:sz w:val="22"/>
                <w:szCs w:val="22"/>
              </w:rPr>
              <w:t>безригельного</w:t>
            </w:r>
            <w:proofErr w:type="spellEnd"/>
            <w:r w:rsidRPr="0074458A">
              <w:rPr>
                <w:spacing w:val="-10"/>
                <w:sz w:val="22"/>
                <w:szCs w:val="22"/>
              </w:rPr>
              <w:t xml:space="preserve"> каркаса для многоэтажных жилых и общественных зданий», в соответствии со статьей 1235 Гражда</w:t>
            </w:r>
            <w:r w:rsidRPr="0074458A">
              <w:rPr>
                <w:spacing w:val="-10"/>
                <w:sz w:val="22"/>
                <w:szCs w:val="22"/>
              </w:rPr>
              <w:t>н</w:t>
            </w:r>
            <w:r w:rsidRPr="0074458A">
              <w:rPr>
                <w:spacing w:val="-10"/>
                <w:sz w:val="22"/>
                <w:szCs w:val="22"/>
              </w:rPr>
              <w:t>ского кодекса российской Федерации).</w:t>
            </w:r>
          </w:p>
        </w:tc>
      </w:tr>
    </w:tbl>
    <w:p w:rsidR="00E654E8" w:rsidRDefault="00E654E8"/>
    <w:sectPr w:rsidR="00E6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1"/>
    <w:rsid w:val="000A5B48"/>
    <w:rsid w:val="00E654E8"/>
    <w:rsid w:val="00E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9E10-4115-4D77-873F-DC010D5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grouser348</dc:creator>
  <cp:keywords/>
  <dc:description/>
  <cp:lastModifiedBy>grouser348</cp:lastModifiedBy>
  <cp:revision>1</cp:revision>
  <dcterms:created xsi:type="dcterms:W3CDTF">2015-05-13T08:14:00Z</dcterms:created>
  <dcterms:modified xsi:type="dcterms:W3CDTF">2015-05-13T08:46:00Z</dcterms:modified>
</cp:coreProperties>
</file>