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23" w:rsidRPr="00DC6DCC" w:rsidRDefault="009E4823" w:rsidP="009E4823">
      <w:pPr>
        <w:suppressAutoHyphens w:val="0"/>
        <w:jc w:val="right"/>
        <w:rPr>
          <w:b/>
          <w:bCs/>
          <w:sz w:val="10"/>
          <w:szCs w:val="10"/>
          <w:highlight w:val="yellow"/>
          <w:u w:val="single"/>
          <w:lang w:eastAsia="ru-RU"/>
        </w:rPr>
      </w:pPr>
    </w:p>
    <w:p w:rsidR="009E4823" w:rsidRDefault="009E4823" w:rsidP="009E4823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eastAsia="ru-RU"/>
        </w:rPr>
      </w:pPr>
    </w:p>
    <w:p w:rsidR="009E4823" w:rsidRPr="00DC6DCC" w:rsidRDefault="009E4823" w:rsidP="009E4823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eastAsia="ru-RU"/>
        </w:rPr>
      </w:pPr>
      <w:bookmarkStart w:id="0" w:name="_GoBack"/>
      <w:r>
        <w:rPr>
          <w:b/>
          <w:sz w:val="24"/>
          <w:szCs w:val="24"/>
          <w:lang w:eastAsia="ru-RU"/>
        </w:rPr>
        <w:t>В</w:t>
      </w:r>
      <w:r w:rsidRPr="00DC6DCC">
        <w:rPr>
          <w:b/>
          <w:sz w:val="24"/>
          <w:szCs w:val="24"/>
          <w:lang w:eastAsia="ru-RU"/>
        </w:rPr>
        <w:t xml:space="preserve">ыполнение изыскательских </w:t>
      </w:r>
      <w:proofErr w:type="gramStart"/>
      <w:r w:rsidRPr="00DC6DCC">
        <w:rPr>
          <w:b/>
          <w:sz w:val="24"/>
          <w:szCs w:val="24"/>
          <w:lang w:eastAsia="ru-RU"/>
        </w:rPr>
        <w:t>работ,  проектной</w:t>
      </w:r>
      <w:proofErr w:type="gramEnd"/>
      <w:r w:rsidRPr="00DC6DCC">
        <w:rPr>
          <w:b/>
          <w:sz w:val="24"/>
          <w:szCs w:val="24"/>
          <w:lang w:eastAsia="ru-RU"/>
        </w:rPr>
        <w:t xml:space="preserve"> и рабочей документации строительства мостового перехода через реку </w:t>
      </w:r>
      <w:proofErr w:type="spellStart"/>
      <w:r w:rsidRPr="00DC6DCC">
        <w:rPr>
          <w:b/>
          <w:sz w:val="24"/>
          <w:szCs w:val="24"/>
          <w:lang w:eastAsia="ru-RU"/>
        </w:rPr>
        <w:t>Хемчик</w:t>
      </w:r>
      <w:bookmarkEnd w:id="0"/>
      <w:proofErr w:type="spellEnd"/>
      <w:r w:rsidRPr="00DC6DCC">
        <w:rPr>
          <w:b/>
          <w:sz w:val="24"/>
          <w:szCs w:val="24"/>
          <w:lang w:eastAsia="ru-RU"/>
        </w:rPr>
        <w:t xml:space="preserve"> на км 7+500 автомобильной дороги Тээли – Кызыл-</w:t>
      </w:r>
      <w:proofErr w:type="spellStart"/>
      <w:r w:rsidRPr="00DC6DCC">
        <w:rPr>
          <w:b/>
          <w:sz w:val="24"/>
          <w:szCs w:val="24"/>
          <w:lang w:eastAsia="ru-RU"/>
        </w:rPr>
        <w:t>Даг</w:t>
      </w:r>
      <w:proofErr w:type="spellEnd"/>
      <w:r w:rsidRPr="00DC6DCC">
        <w:rPr>
          <w:b/>
          <w:sz w:val="24"/>
          <w:szCs w:val="24"/>
          <w:lang w:eastAsia="ru-RU"/>
        </w:rPr>
        <w:t>, участок км 0+000 - км 14+000.</w:t>
      </w:r>
    </w:p>
    <w:p w:rsidR="009E4823" w:rsidRPr="00DC6DCC" w:rsidRDefault="009E4823" w:rsidP="009E4823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035"/>
      </w:tblGrid>
      <w:tr w:rsidR="009E4823" w:rsidRPr="00DC6DCC" w:rsidTr="00982BD9">
        <w:trPr>
          <w:trHeight w:val="605"/>
        </w:trPr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tabs>
                <w:tab w:val="num" w:pos="780"/>
              </w:tabs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1.Основание для проектирования</w:t>
            </w:r>
          </w:p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1.1. Государственная программа «Развитие транспортной системы Республики Тыва на 2014 – 2016 годы» на 2015 год.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2. Цели и задачи разработки проектной документации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tabs>
                <w:tab w:val="num" w:pos="780"/>
              </w:tabs>
              <w:suppressAutoHyphens w:val="0"/>
              <w:ind w:right="125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2.1. разработка оптимальных, обоснованных, экономически целесообразных и эффективных функционально-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технологических, конструктивных и инженерно-технических решений при строительстве объекта.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3. Заказчик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tabs>
                <w:tab w:val="num" w:pos="780"/>
              </w:tabs>
              <w:suppressAutoHyphens w:val="0"/>
              <w:ind w:right="125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3.1. ГКУ «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Тываавтодор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4. Исполнитель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4.1. определяется по результатам размещения госзаказа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5. Статус работы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5.1. государственный заказ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6. Источник финансирования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6.1. Дорожный фонд Республики Тыва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7. Местонахождение объекта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7.1. Сибирский федеральный округ, Республика Тыва, Бай-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, мостовой переход через 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р.Хемчик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 на км 7+500 автомобильной дороги Тээли – Кызыл-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Даг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>, участок км 0+000 - км 14+000.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tabs>
                <w:tab w:val="num" w:pos="780"/>
              </w:tabs>
              <w:suppressAutoHyphens w:val="0"/>
              <w:ind w:right="125"/>
              <w:jc w:val="both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8. Исходные данные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8.1. Инженерные изыскания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9. При разработке проектной документации строительства принять следующие                     основные технические параметры: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Конструкция моста – по проекту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9.1. Техническая категория дороги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C6DCC"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9.2. Длина моста, м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100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9.3. Габарит проезжей части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Г-4,5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9.4. Число полос движения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 xml:space="preserve">9.5. Ширина земляного полотна (на подходах), м. 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8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9.6. Ширина проезжей части земляного полотна (на подходах), м.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4,5 (уточнить при проектировании) 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  <w:vAlign w:val="center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9.7. Ширина обочин (на подходах),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1,75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  <w:vAlign w:val="center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9.8. Вид покрытия мостового полотна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  <w:vAlign w:val="center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9.9. Вид покрытия на подходах к мосту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Щебеночное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9.10. Расчётные нагрузки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А14 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9.11. Пролетное строение</w:t>
            </w:r>
          </w:p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9.12. Опоры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(уточнить при проектировании)</w:t>
            </w:r>
          </w:p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(уточнить при проектировании)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C6DCC">
              <w:rPr>
                <w:b/>
                <w:sz w:val="22"/>
                <w:szCs w:val="22"/>
                <w:lang w:eastAsia="ru-RU"/>
              </w:rPr>
              <w:t>9.13. Ограждения на автодороге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Металлическое 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tabs>
                <w:tab w:val="num" w:pos="780"/>
              </w:tabs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 xml:space="preserve">10. При разработке проектной документации </w:t>
            </w:r>
          </w:p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lastRenderedPageBreak/>
              <w:t>10.1. Выполнить сбор исходных данных для проектирования.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lastRenderedPageBreak/>
              <w:t>10.2. Выполнить необходимые инженерно-геодезические, инженерно-</w:t>
            </w:r>
            <w:proofErr w:type="spellStart"/>
            <w:proofErr w:type="gramStart"/>
            <w:r w:rsidRPr="00DC6DCC">
              <w:rPr>
                <w:sz w:val="24"/>
                <w:szCs w:val="24"/>
                <w:lang w:eastAsia="ru-RU"/>
              </w:rPr>
              <w:t>гидрометеологические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>,  инженерно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>-геологические и инженерно-экологические изыскания в объеме, необходимом для обоснования и принятия решений по проекту.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10.3.  Рассмотреть возможные варианты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строительства  мостового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перехода.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10.4. Провести сравнение вариантов расположения мостового перехода и осуществить выбор (по согласованию с Заказчиком) рекомендуемого из них в соответствии с заданными техническими параметрами в объеме, максимально достаточном для оценки и выбора оптимального по сумме технико-экономических показателей, включая технологию сооружения, эксплуатационные затраты и воздействия на окружающую среду.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10.5. Все технические решения принимать на основе вариантного проектирования, с последующим их сопоставлением по технико-экономическим показателям.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10.6. Разработать технические решения по рекомендуемому варианту.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10.7. Определить оптимальные схемы и конструкции мостового перехода.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10.8. Разработать мероприятия по предотвращению скопления 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корчехода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 на мосту.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10.9. Разработать проектную документацию, включая: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●  материалы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с обоснованием принятых решений объемов работ и сметной стоимости, согласованные с Заказчиком;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●  конкурсную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документацию для проведения конкурса на строительные работы, в том числе требования к качеству материалов согласно ФЗ-44.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10.10. Согласовать проектную документацию с заинтересованными физическими и юридическими лицами в соответствии с действующим законодательством РФ, в том числе:</w:t>
            </w:r>
          </w:p>
          <w:p w:rsidR="009E4823" w:rsidRPr="00DC6DCC" w:rsidRDefault="009E4823" w:rsidP="00982BD9">
            <w:pPr>
              <w:tabs>
                <w:tab w:val="left" w:pos="252"/>
              </w:tabs>
              <w:suppressAutoHyphens w:val="0"/>
              <w:ind w:right="98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ФГБУ «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Енисейрыбвод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» и Енисейским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территориальным  управлением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>»;</w:t>
            </w:r>
          </w:p>
          <w:p w:rsidR="009E4823" w:rsidRPr="00DC6DCC" w:rsidRDefault="009E4823" w:rsidP="00982BD9">
            <w:pPr>
              <w:tabs>
                <w:tab w:val="left" w:pos="252"/>
              </w:tabs>
              <w:suppressAutoHyphens w:val="0"/>
              <w:ind w:right="98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ГИМС МЧС РФ по РТ;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DC6DCC">
              <w:rPr>
                <w:noProof/>
                <w:sz w:val="24"/>
                <w:szCs w:val="24"/>
                <w:lang w:eastAsia="ru-RU"/>
              </w:rPr>
              <w:t>- ГКУ "Тываавтодор".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DC6DCC">
              <w:rPr>
                <w:noProof/>
                <w:sz w:val="24"/>
                <w:szCs w:val="24"/>
                <w:lang w:eastAsia="ru-RU"/>
              </w:rPr>
              <w:t>10.11. Проведение согласований и получение заключений с заинтересованными организациями, включая экспертизу ПСД осуществляет проектная организация. В случае получения отрицательного заключения, проектная организация за свой счет оплачивает повторные экспертизы до получения положительного заключения.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10.13. Участвовать без дополнительной оплаты: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 при рассмотрении проектной документации Заказчиком в установленном им порядке;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lastRenderedPageBreak/>
              <w:t>- вносить изменения в проектную документацию по результатам рассмотрения у заказчика;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при защите проекта в органах государственной экспертизы;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- представлять пояснения, документы и обоснования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по  требованию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Заказчика.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10.14. Проектная организация только после согласования ПСД у Заказчика предоставляет проект на экспертизу.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10.15. Порядок разработки ПД: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Проектная документация;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Рабочая документация. (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рабочую документацию дополнительно включить чертежи поперечных профилей).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lastRenderedPageBreak/>
              <w:t>11. Требования к составу работ, содержанию и оформлению проектной документации</w:t>
            </w: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11.1. Состав проектной документации принять с учетом требований Градостроительного кодекса Российской Федерации, Постановлением Правительства Российской Федерации от 16.02.2008г. №87.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11.2. В состав проектной документации представить предложения по: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      ● использованию сырьевой базы района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проектируемого  объекта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>, при необходимости;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●  применению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приоритетных технологий, конструкций и материалов.                    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11.3. На картах (схемах), в составе проектной документации обозначить информацию о состоянии соответствующей территории, возможных направлениях ее развития и об ограничениях ее использования: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      ● границы собственников, землепользователей, на основании сведений </w:t>
            </w:r>
            <w:proofErr w:type="spellStart"/>
            <w:proofErr w:type="gramStart"/>
            <w:r w:rsidRPr="00DC6DCC">
              <w:rPr>
                <w:sz w:val="24"/>
                <w:szCs w:val="24"/>
                <w:lang w:eastAsia="ru-RU"/>
              </w:rPr>
              <w:t>государ-ственного</w:t>
            </w:r>
            <w:proofErr w:type="spellEnd"/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кадастрового учета и сведения о правообладателях данных земельных участков;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   ●     границы территорий объектов культурного наследия;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11.4. Сметную документацию разработать и оформить в соответствии с «Методикой определения стоимости строительной продукции на территории Российской Федерации» МДС 81-35.2004. 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11.5. Проектные решения должны отвечать требованиям действующих нормативных документов.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11.6. Проектную документацию оформить подписями руководителя генеральной проектной организации и главного инженера проекта, круглой печатью генеральной проектной организации, а также справкой проектной организации о соответствии проекта требованиям действующего законодательства и задания на проектирование.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t>12. Дополнительные требования</w:t>
            </w:r>
          </w:p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spacing w:before="120"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12.1. Требования к точности, составу, сдаче отчетов об изыскательских работах выполнить на основе положений </w:t>
            </w:r>
            <w:r w:rsidRPr="00DC6DCC">
              <w:rPr>
                <w:color w:val="000000"/>
                <w:sz w:val="24"/>
                <w:szCs w:val="24"/>
                <w:lang w:eastAsia="ru-RU"/>
              </w:rPr>
              <w:t xml:space="preserve">СНиП 11-02-96 Актуализированная редакция, СП 47.13330.2012, </w:t>
            </w:r>
            <w:r w:rsidRPr="00DC6DCC">
              <w:rPr>
                <w:sz w:val="24"/>
                <w:szCs w:val="24"/>
                <w:lang w:eastAsia="ru-RU"/>
              </w:rPr>
              <w:t>а также:</w:t>
            </w:r>
          </w:p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lastRenderedPageBreak/>
              <w:t xml:space="preserve">                    ●     по инженерно-геодезическим изысканиям – СП 11-104-97;</w:t>
            </w:r>
          </w:p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●     по инженерно-геологическим изысканиям – СП 11-105-97, части 1-4;</w:t>
            </w:r>
          </w:p>
          <w:p w:rsidR="009E4823" w:rsidRPr="00DC6DCC" w:rsidRDefault="009E4823" w:rsidP="009E482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по инженерно-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гидрометеологическим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 изысканиям - СП 11-103-97;</w:t>
            </w:r>
          </w:p>
          <w:p w:rsidR="009E4823" w:rsidRPr="00DC6DCC" w:rsidRDefault="009E4823" w:rsidP="009E482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по инженерно-экологическим изысканиям - СП 11-102-97</w:t>
            </w:r>
            <w:r w:rsidRPr="00DC6DCC">
              <w:rPr>
                <w:bCs/>
                <w:sz w:val="24"/>
                <w:szCs w:val="24"/>
                <w:lang w:eastAsia="ru-RU"/>
              </w:rPr>
              <w:t>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12.2.  Продолжительность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работ  -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принять на основе проектной документации организации строительства.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12.3.      Требования к расчету сметной стоимости: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   ●    метод определения сметной стоимости определить в соответствии с п.3.27 МДС 81-35.2004 по согласованию с заказчиком. Сметную стоимость определить в базовом уровне цен с переводом в текущий уровень;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            ●   в составе сводного сметного расчета предусмотреть затраты согласно справки заказчика;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12.5.     При разработке сметной документации использовать программный комплекс, прошедший подтверждение соответствия в порядке, установленном действующим законодательством – (принять по согласованию с Заказчиком).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12.6.   В составе проектной документации выделить в отдельные книги: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C6DCC">
              <w:rPr>
                <w:sz w:val="24"/>
                <w:szCs w:val="24"/>
                <w:lang w:eastAsia="ru-RU"/>
              </w:rPr>
              <w:t>●  Раздел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1     Том-1  -  «Пояснительная записка»;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●   Раздел 3      Том-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3  -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  «Технологические и конструктивные решения линейного объекта.  Искусственные сооружения».                                         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C6DCC">
              <w:rPr>
                <w:sz w:val="24"/>
                <w:szCs w:val="24"/>
                <w:lang w:eastAsia="ru-RU"/>
              </w:rPr>
              <w:t>●  Раздел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5     Том-5 - «Проект организации строительства»;</w:t>
            </w:r>
          </w:p>
          <w:p w:rsidR="009E4823" w:rsidRPr="00DC6DCC" w:rsidRDefault="009E4823" w:rsidP="009E4823">
            <w:pPr>
              <w:numPr>
                <w:ilvl w:val="0"/>
                <w:numId w:val="3"/>
              </w:numPr>
              <w:tabs>
                <w:tab w:val="num" w:pos="131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Раздел 6 Проект организации по демонтажу линейного объекта;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●   Раздел 7     Том-7 - «Мероприятия по охране окружающей среды»;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C6DCC">
              <w:rPr>
                <w:sz w:val="24"/>
                <w:szCs w:val="24"/>
                <w:lang w:eastAsia="ru-RU"/>
              </w:rPr>
              <w:t>●  Раздел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9  «Смета на строительство»;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Книга 1 - «Сводный сметный расчет»;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DCC">
              <w:rPr>
                <w:sz w:val="24"/>
                <w:szCs w:val="24"/>
                <w:lang w:eastAsia="ru-RU"/>
              </w:rPr>
              <w:t>Книга  2</w:t>
            </w:r>
            <w:proofErr w:type="gramEnd"/>
            <w:r w:rsidRPr="00DC6DCC">
              <w:rPr>
                <w:sz w:val="24"/>
                <w:szCs w:val="24"/>
                <w:lang w:eastAsia="ru-RU"/>
              </w:rPr>
              <w:t xml:space="preserve"> - «Локальные сметы и локальные ресурсные сметные расчеты»;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     Материалы инженерных изысканий</w:t>
            </w:r>
          </w:p>
          <w:p w:rsidR="009E4823" w:rsidRPr="00DC6DCC" w:rsidRDefault="009E4823" w:rsidP="00982BD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●   технический отчет по инженерно-геодезическим изысканиям;</w:t>
            </w:r>
          </w:p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●   технический отчет по инженерно-геологическим изысканиям;</w:t>
            </w:r>
          </w:p>
          <w:p w:rsidR="009E4823" w:rsidRPr="00DC6DCC" w:rsidRDefault="009E4823" w:rsidP="009E4823">
            <w:pPr>
              <w:numPr>
                <w:ilvl w:val="0"/>
                <w:numId w:val="2"/>
              </w:numPr>
              <w:tabs>
                <w:tab w:val="num" w:pos="131"/>
              </w:tabs>
              <w:suppressAutoHyphens w:val="0"/>
              <w:ind w:left="311" w:hanging="18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технический отчет по инженерно-</w:t>
            </w:r>
            <w:proofErr w:type="spellStart"/>
            <w:r w:rsidRPr="00DC6DCC">
              <w:rPr>
                <w:sz w:val="24"/>
                <w:szCs w:val="24"/>
                <w:lang w:eastAsia="ru-RU"/>
              </w:rPr>
              <w:t>гидрометеологическим</w:t>
            </w:r>
            <w:proofErr w:type="spellEnd"/>
            <w:r w:rsidRPr="00DC6DCC">
              <w:rPr>
                <w:sz w:val="24"/>
                <w:szCs w:val="24"/>
                <w:lang w:eastAsia="ru-RU"/>
              </w:rPr>
              <w:t xml:space="preserve"> изысканиям;</w:t>
            </w:r>
          </w:p>
          <w:p w:rsidR="009E4823" w:rsidRPr="00DC6DCC" w:rsidRDefault="009E4823" w:rsidP="009E4823">
            <w:pPr>
              <w:numPr>
                <w:ilvl w:val="0"/>
                <w:numId w:val="2"/>
              </w:numPr>
              <w:tabs>
                <w:tab w:val="num" w:pos="131"/>
              </w:tabs>
              <w:suppressAutoHyphens w:val="0"/>
              <w:ind w:left="311" w:hanging="18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технический отчет по инженерно-экологическим изысканиям.</w:t>
            </w:r>
          </w:p>
          <w:p w:rsidR="009E4823" w:rsidRPr="00DC6DCC" w:rsidRDefault="009E4823" w:rsidP="00982BD9">
            <w:pPr>
              <w:tabs>
                <w:tab w:val="left" w:pos="557"/>
              </w:tabs>
              <w:suppressAutoHyphens w:val="0"/>
              <w:ind w:right="98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12.7. В проекте представить дополнительные разделы:</w:t>
            </w:r>
          </w:p>
          <w:p w:rsidR="009E4823" w:rsidRPr="00DC6DCC" w:rsidRDefault="009E4823" w:rsidP="009E4823">
            <w:pPr>
              <w:numPr>
                <w:ilvl w:val="0"/>
                <w:numId w:val="4"/>
              </w:numPr>
              <w:tabs>
                <w:tab w:val="left" w:pos="557"/>
              </w:tabs>
              <w:suppressAutoHyphens w:val="0"/>
              <w:ind w:right="98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Рабочая документация;</w:t>
            </w:r>
          </w:p>
          <w:p w:rsidR="009E4823" w:rsidRPr="00DC6DCC" w:rsidRDefault="009E4823" w:rsidP="009E4823">
            <w:pPr>
              <w:numPr>
                <w:ilvl w:val="0"/>
                <w:numId w:val="2"/>
              </w:numPr>
              <w:tabs>
                <w:tab w:val="num" w:pos="131"/>
              </w:tabs>
              <w:suppressAutoHyphens w:val="0"/>
              <w:ind w:left="311" w:hanging="18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- "Конкурсная документация для подрядных торгов".</w:t>
            </w:r>
          </w:p>
          <w:p w:rsidR="009E4823" w:rsidRPr="00DC6DCC" w:rsidRDefault="009E4823" w:rsidP="009E4823">
            <w:pPr>
              <w:numPr>
                <w:ilvl w:val="0"/>
                <w:numId w:val="2"/>
              </w:numPr>
              <w:tabs>
                <w:tab w:val="num" w:pos="131"/>
              </w:tabs>
              <w:suppressAutoHyphens w:val="0"/>
              <w:ind w:left="311" w:hanging="18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lastRenderedPageBreak/>
              <w:t>Сбор исходных данных (документы согласований). Все оригиналы документов предоставить в 1 экземпляре;</w:t>
            </w:r>
          </w:p>
          <w:p w:rsidR="009E4823" w:rsidRPr="00DC6DCC" w:rsidRDefault="009E4823" w:rsidP="009E4823">
            <w:pPr>
              <w:numPr>
                <w:ilvl w:val="0"/>
                <w:numId w:val="2"/>
              </w:numPr>
              <w:tabs>
                <w:tab w:val="num" w:pos="131"/>
              </w:tabs>
              <w:suppressAutoHyphens w:val="0"/>
              <w:ind w:left="311" w:hanging="18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Составление паспорта мостового перехода. План мостового перехода выполнить в масштабе 1:500.</w:t>
            </w:r>
          </w:p>
          <w:p w:rsidR="009E4823" w:rsidRPr="00DC6DCC" w:rsidRDefault="009E4823" w:rsidP="009E4823">
            <w:pPr>
              <w:numPr>
                <w:ilvl w:val="0"/>
                <w:numId w:val="2"/>
              </w:numPr>
              <w:tabs>
                <w:tab w:val="num" w:pos="131"/>
              </w:tabs>
              <w:suppressAutoHyphens w:val="0"/>
              <w:ind w:left="311" w:hanging="18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Разработать раздел организация и обеспечения безопасности движения (схемы) на время производства строительных работ.</w:t>
            </w:r>
          </w:p>
        </w:tc>
      </w:tr>
      <w:tr w:rsidR="009E4823" w:rsidRPr="00DC6DCC" w:rsidTr="00982BD9"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b/>
                <w:sz w:val="24"/>
                <w:szCs w:val="24"/>
                <w:lang w:eastAsia="ru-RU"/>
              </w:rPr>
              <w:lastRenderedPageBreak/>
              <w:t>13.  Требования к сдаче проектной документации</w:t>
            </w:r>
          </w:p>
          <w:p w:rsidR="009E4823" w:rsidRPr="00DC6DCC" w:rsidRDefault="009E4823" w:rsidP="00982BD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13.1. Знаки, позволяющие вынести на местность ось проектируемых подходов мостового перехода, репера высотных отметок сдать заказчику по акту до окончания проектных работ. </w:t>
            </w:r>
          </w:p>
          <w:p w:rsidR="009E4823" w:rsidRPr="00DC6DCC" w:rsidRDefault="009E4823" w:rsidP="009E4823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60" w:lineRule="exact"/>
              <w:ind w:left="0" w:hanging="180"/>
              <w:jc w:val="both"/>
              <w:rPr>
                <w:sz w:val="22"/>
                <w:szCs w:val="22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13.2. Знаки должны быть установлены вдоль границы участка строительных работ, быть четко обозначены для исключения неумышленного уничтожения, позволять однозначно идентифицировать закрепляемый пункт.</w:t>
            </w:r>
            <w:r w:rsidRPr="00DC6DCC">
              <w:rPr>
                <w:sz w:val="22"/>
                <w:szCs w:val="22"/>
                <w:lang w:eastAsia="ru-RU"/>
              </w:rPr>
              <w:t xml:space="preserve"> </w:t>
            </w:r>
          </w:p>
          <w:p w:rsidR="009E4823" w:rsidRPr="00DC6DCC" w:rsidRDefault="009E4823" w:rsidP="009E4823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ind w:left="36" w:hanging="36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Представить Заказчику фотоматериалы, подтверждающие выполнение работ по бурению скважин (с привязкой к месту отбора), с составлением совместного акта.</w:t>
            </w:r>
          </w:p>
          <w:p w:rsidR="009E4823" w:rsidRPr="00DC6DCC" w:rsidRDefault="009E4823" w:rsidP="00982BD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13.4.</w:t>
            </w:r>
            <w:r w:rsidRPr="00DC6DCC">
              <w:rPr>
                <w:color w:val="3366FF"/>
                <w:sz w:val="24"/>
                <w:szCs w:val="24"/>
                <w:lang w:eastAsia="ru-RU"/>
              </w:rPr>
              <w:t xml:space="preserve"> </w:t>
            </w:r>
            <w:r w:rsidRPr="00DC6DCC">
              <w:rPr>
                <w:sz w:val="24"/>
                <w:szCs w:val="24"/>
                <w:lang w:eastAsia="ru-RU"/>
              </w:rPr>
              <w:t>По окончании инженерных изысканий земельные участки и конструкции должны быть приведены в состояние, пригодное для их использования по целевому назначению.</w:t>
            </w:r>
          </w:p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13.5. Технический отчет об инженерных изысканиях передать Заказчику в 2 экземплярах.</w:t>
            </w:r>
          </w:p>
          <w:p w:rsidR="009E4823" w:rsidRPr="00DC6DCC" w:rsidRDefault="009E4823" w:rsidP="00982BD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13.6. Проектная документация передается Заказчику в книгах в 4-х экземплярах и в электронном варианте 1экземпляр (С</w:t>
            </w:r>
            <w:r w:rsidRPr="00DC6DCC">
              <w:rPr>
                <w:sz w:val="24"/>
                <w:szCs w:val="24"/>
                <w:lang w:val="en-US" w:eastAsia="ru-RU"/>
              </w:rPr>
              <w:t>D</w:t>
            </w:r>
            <w:r w:rsidRPr="00DC6DCC">
              <w:rPr>
                <w:sz w:val="24"/>
                <w:szCs w:val="24"/>
                <w:lang w:eastAsia="ru-RU"/>
              </w:rPr>
              <w:t>-диск).</w:t>
            </w:r>
          </w:p>
          <w:p w:rsidR="009E4823" w:rsidRPr="00DC6DCC" w:rsidRDefault="009E4823" w:rsidP="00982BD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>13.7. Срок сдачи Заказчику:</w:t>
            </w:r>
          </w:p>
          <w:p w:rsidR="009E4823" w:rsidRPr="00DC6DCC" w:rsidRDefault="009E4823" w:rsidP="009E482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DC6DCC">
              <w:rPr>
                <w:sz w:val="24"/>
                <w:szCs w:val="24"/>
                <w:lang w:eastAsia="ru-RU"/>
              </w:rPr>
              <w:t xml:space="preserve">технических отчетов об инженерных изысканиях, проектно-сметной документации с положительным заключением государственной экспертизы – </w:t>
            </w:r>
          </w:p>
        </w:tc>
      </w:tr>
    </w:tbl>
    <w:p w:rsidR="00737E60" w:rsidRDefault="00737E60"/>
    <w:sectPr w:rsidR="0073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20ED"/>
    <w:multiLevelType w:val="multilevel"/>
    <w:tmpl w:val="D29E8F90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E76CAD"/>
    <w:multiLevelType w:val="hybridMultilevel"/>
    <w:tmpl w:val="73FC0D54"/>
    <w:lvl w:ilvl="0" w:tplc="B96A9BB0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5FAE6DAD"/>
    <w:multiLevelType w:val="hybridMultilevel"/>
    <w:tmpl w:val="BA888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50E37"/>
    <w:multiLevelType w:val="hybridMultilevel"/>
    <w:tmpl w:val="1A3A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E9709A"/>
    <w:multiLevelType w:val="hybridMultilevel"/>
    <w:tmpl w:val="08309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47A55"/>
    <w:multiLevelType w:val="hybridMultilevel"/>
    <w:tmpl w:val="D65E82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3"/>
    <w:rsid w:val="00737E60"/>
    <w:rsid w:val="009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6788C-460E-4A9B-88F9-D950F9D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grouser348</dc:creator>
  <cp:keywords/>
  <dc:description/>
  <cp:lastModifiedBy>grouser348</cp:lastModifiedBy>
  <cp:revision>1</cp:revision>
  <dcterms:created xsi:type="dcterms:W3CDTF">2015-05-13T09:13:00Z</dcterms:created>
  <dcterms:modified xsi:type="dcterms:W3CDTF">2015-05-13T09:15:00Z</dcterms:modified>
</cp:coreProperties>
</file>