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60"/>
        <w:gridCol w:w="7031"/>
      </w:tblGrid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Свидетельство о государственной регистрации права собственности на земельный участок для деятельности спортивных объектов, общей площадью 3808 кв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.м</w:t>
            </w:r>
            <w:proofErr w:type="gramEnd"/>
          </w:p>
          <w:p w:rsidR="004F5B27" w:rsidRPr="004F5B27" w:rsidRDefault="004F5B27" w:rsidP="004F5B27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Градостроительный план земельного участка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7031" w:type="dxa"/>
          </w:tcPr>
          <w:p w:rsidR="004F5B27" w:rsidRPr="004F5B27" w:rsidRDefault="004F5B27" w:rsidP="000974C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Административно-бытовой корпус </w:t>
            </w:r>
            <w:r w:rsidR="00C7053D">
              <w:rPr>
                <w:rFonts w:cstheme="minorHAnsi"/>
                <w:sz w:val="28"/>
                <w:szCs w:val="28"/>
              </w:rPr>
              <w:t>д</w:t>
            </w:r>
            <w:r w:rsidRPr="004F5B27">
              <w:rPr>
                <w:rFonts w:cstheme="minorHAnsi"/>
                <w:sz w:val="28"/>
                <w:szCs w:val="28"/>
              </w:rPr>
              <w:t>ля раз</w:t>
            </w:r>
            <w:r w:rsidR="00C7053D">
              <w:rPr>
                <w:rFonts w:cstheme="minorHAnsi"/>
                <w:sz w:val="28"/>
                <w:szCs w:val="28"/>
              </w:rPr>
              <w:t xml:space="preserve">мещения участников соревнований </w:t>
            </w:r>
            <w:r w:rsidRPr="004F5B27">
              <w:rPr>
                <w:rFonts w:cstheme="minorHAnsi"/>
                <w:sz w:val="28"/>
                <w:szCs w:val="28"/>
              </w:rPr>
              <w:t>де</w:t>
            </w:r>
            <w:r>
              <w:rPr>
                <w:rFonts w:cstheme="minorHAnsi"/>
                <w:sz w:val="28"/>
                <w:szCs w:val="28"/>
              </w:rPr>
              <w:t>тско-юношеской спортивной школы</w:t>
            </w:r>
            <w:r w:rsidR="000974CD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Вид строительства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Новое строительство; ориентировочная общая площадь 6400 кв.м.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Стадийность проектирования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1. Стадийность проектирования - две стадии: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Проектная документация (Стадия П);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Рабочая документация (Стадия Р);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2. Состав документации: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2.1. Объёмно-пространственные решения и схема планировочной организации земельного участка в объеме необходимом для согласования уполномоченными органами местного самоуправления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2.2. Проектная документация в составе: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Отчет об инженерно-геологических изысканиях.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Отчет об инженерно-геодезических изысканиях.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Комплексное экологическое обследование.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Раздел 1. «Пояснительная записка»: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Раздел 1.1. «Общая пояснительная записка»;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Раздел 1.2. «Исходно-разрешительная документация».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Раздел 2. «Схема планировочной организации земельного участка».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Раздел 3. «Архитектурные решения»: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- Раздел 3.1. «Архитектурные решения»;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Раздел 3.2. «Архитектурно – строительная акустика»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Раздел 3.3. «КЕО»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Раздел 3.4. «Инсоляция»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Раздел 4. «Конструктивные и объемно-планировочные решения».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5.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а) Подраздел «Система электроснабжения».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б) Подраздел «Система водоснабжения».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в) Подраздел «Система водоотведения».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г) Подраздел «Отопление, вентиляция и кондиционирование воздуха, тепловые сети».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F5B27">
              <w:rPr>
                <w:rFonts w:cstheme="minorHAnsi"/>
                <w:sz w:val="28"/>
                <w:szCs w:val="28"/>
              </w:rPr>
              <w:t>д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>) Подраздел «Сети связи».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ж) Подраздел «Технологические решения».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6. «Проект организации строительства»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8. «Перечень мероприятий по охране окружающей среды».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8.1. «Перечень мероприятий по охране окружающей среды».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 8.2. «Защита от шума на период строительства»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9. «Мероприятия по обеспечению пожарной безопасности».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10. «Мероприятия по обеспечению доступа инвалидов».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-Раздел 11. «Сводный сметный расчет».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12.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13. «Инженерно-технические мероприятия по гражданской обороне и чрезвычайной ситуации»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14. «Требования к обеспечению безопасной эксплуатации объектов капитального строительства»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2.3. Рабочая  документация в составе: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Раздел 1. «Пояснительная записка»: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Раздел 1.1. «Общая пояснительная записка»;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Раздел 1.2. «Исходно-разрешительная документация».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2. «Схема планировочной организации земельного участка».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3. «Архитектурные решения»: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4. «Конструктивные и объемно-планировочные решения».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5.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а) Подраздел «Система электроснабжения».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б) Подраздел «Система водоснабжения».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в) Подраздел «Система водоотведения».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г) Подраздел «Отопление, вентиляция  и кондиционирование воздуха, тепловые сети».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F5B27">
              <w:rPr>
                <w:rFonts w:cstheme="minorHAnsi"/>
                <w:sz w:val="28"/>
                <w:szCs w:val="28"/>
              </w:rPr>
              <w:lastRenderedPageBreak/>
              <w:t>д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>) Подраздел «Сети связи».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-Раздел 11. «Сводный сметный расчет».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Основные требования к архитектурно-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планировочным решениям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и  технико-экономическим показателям объекта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В соответствии с Градостроительным планом и согласованными  объёмно-пространственными решениями и схемой планировочной организации земельного участка.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Высотность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F5B27">
                <w:rPr>
                  <w:rFonts w:cstheme="minorHAnsi"/>
                  <w:sz w:val="28"/>
                  <w:szCs w:val="28"/>
                </w:rPr>
                <w:t>20 м</w:t>
              </w:r>
            </w:smartTag>
            <w:r w:rsidRPr="004F5B27">
              <w:rPr>
                <w:rFonts w:cstheme="minorHAnsi"/>
                <w:sz w:val="28"/>
                <w:szCs w:val="28"/>
              </w:rPr>
              <w:t>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Этажность – переменная 3 - 4 этажа.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Кровля плоская.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Высота 1 этажа -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F5B27">
                <w:rPr>
                  <w:rFonts w:cstheme="minorHAnsi"/>
                  <w:sz w:val="28"/>
                  <w:szCs w:val="28"/>
                </w:rPr>
                <w:t>4 м</w:t>
              </w:r>
            </w:smartTag>
            <w:r w:rsidRPr="004F5B27">
              <w:rPr>
                <w:rFonts w:cstheme="minorHAnsi"/>
                <w:sz w:val="28"/>
                <w:szCs w:val="28"/>
              </w:rPr>
              <w:t>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Высота 2-4 этажей – не менее 3м.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Высота цокольного этажа – не менее 2м.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Требования к планировочным решениям - в соответствии с согласованной Заказчиком схемой планировочного решения.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Внутреннюю и внешнюю отделку помещений, интерьерные решения (материал и цветовое решение) согласовать с Заказчиком.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Характеристики объемно-пространственного решения и схемы планировочной организации земельного участка уточняются на стадии «П».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Основные требования к составу помещений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Цокольный этаж – предусмотреть: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группу технических помещений: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водомерный узел,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электрощитовую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, ИТП,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венткамеры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>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1- 4 этажи – предусмотреть: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Приемно-вестибюльную зону с гардеробом;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лестничные клетки;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- помещения уборочного инвентаря;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 коридоры;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-многофункциональный зал 14х14;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две раздевалки (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мужская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и женская) при многофункциональном зале с душевой и с/у;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сауна при многофункциональном зале;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- 20-30 гостиничных номеров с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>/у и душевой кабиной (2х-3х местные номера)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- 2 – 4 гостиничных номеров повышенной комфортности (люкс) с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>/у и душевой кабиной (одноместные);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административные помещения: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кабинет директора;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приёмная директора;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бухгалтерия;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методический кабинет;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администратор;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медицинский кабинет;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помещение для технического персонала;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санузлы на этажах;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4F5B27">
              <w:rPr>
                <w:rFonts w:cstheme="minorHAnsi"/>
                <w:sz w:val="28"/>
                <w:szCs w:val="28"/>
              </w:rPr>
              <w:t xml:space="preserve">- буфет, кухня или мини-столовая (подсобные помещения в   </w:t>
            </w:r>
            <w:proofErr w:type="gramEnd"/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соответствии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с технологическим решением);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прачечная;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Состав помещений уточняется на стадии «П».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Основные требования к  </w:t>
            </w:r>
            <w:r w:rsidRPr="004F5B27">
              <w:rPr>
                <w:rFonts w:cstheme="minorHAnsi"/>
                <w:sz w:val="28"/>
                <w:szCs w:val="28"/>
              </w:rPr>
              <w:lastRenderedPageBreak/>
              <w:t>конструктивным решениям, несущим и ограждающим конструкциям, элементам здания и отделке.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b/>
                <w:sz w:val="28"/>
                <w:szCs w:val="28"/>
              </w:rPr>
            </w:pPr>
            <w:r w:rsidRPr="004F5B27">
              <w:rPr>
                <w:rFonts w:cstheme="minorHAnsi"/>
                <w:b/>
                <w:sz w:val="28"/>
                <w:szCs w:val="28"/>
              </w:rPr>
              <w:lastRenderedPageBreak/>
              <w:t>Подземная  и цокольная части: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 xml:space="preserve">- фундаменты – монолитные ростверки в соответствии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 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 xml:space="preserve">геологическим строением основания (при необходимости  </w:t>
            </w:r>
            <w:proofErr w:type="gramEnd"/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устройство свайного поля);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наружные стены – несущие из монолитного железобетона (W 8);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внутренние поперечные стены – несущие из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монолитного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 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железобетона;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перекрытия – монолитная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безригельная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 железобетонная плита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распределением усилий на поперечные и продольные стены;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перегородки - гипсобетонные или газобетонные блоки;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лестничные площадки – монолитные железобетонные;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лестничные марши – сборные железобетонные;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ограждения лестниц – металлические;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гидроизоляция поверхностей бетона, соприкасающихся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грунтом –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обмазочная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 на битумной основе;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утепление стен –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пенополистирол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, в соответствии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теплотехническим расчетом;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облицовка цоколя – в соответствии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объемно –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пространственным решением;</w:t>
            </w:r>
          </w:p>
          <w:p w:rsidR="004F5B27" w:rsidRPr="004F5B27" w:rsidRDefault="004F5B27" w:rsidP="0085189D">
            <w:pPr>
              <w:rPr>
                <w:rFonts w:cstheme="minorHAnsi"/>
                <w:b/>
                <w:sz w:val="28"/>
                <w:szCs w:val="28"/>
              </w:rPr>
            </w:pPr>
            <w:r w:rsidRPr="004F5B27">
              <w:rPr>
                <w:rFonts w:cstheme="minorHAnsi"/>
                <w:b/>
                <w:sz w:val="28"/>
                <w:szCs w:val="28"/>
              </w:rPr>
              <w:t>Наземная часть: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наружные стены – уточняется на стадии «П» в </w:t>
            </w:r>
            <w:r w:rsidRPr="004F5B27">
              <w:rPr>
                <w:rFonts w:cstheme="minorHAnsi"/>
                <w:sz w:val="28"/>
                <w:szCs w:val="28"/>
              </w:rPr>
              <w:lastRenderedPageBreak/>
              <w:t xml:space="preserve">соответствии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объемно – пространственным решением;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утепление стен –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минераловатные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 плиты, в соответствии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теплотехническим расчетом;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внутренние несущие стены из монолитного железобетона;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внутренние ненесущие стены, перегородки – блоки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из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гипсобетона и/или газобетона, толщиной в соответствии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акустическим расчетом;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перекрытия – монолитная железобетонная плита;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лестничные площадки – монолитные железобетонные;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лестничные марши – сборные железобетонные;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ограждения лестниц – металлические;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лифтовые шахты - монолитные железобетонные;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кровля плоская неэксплуатируемая, с внутренним водостоком;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покрытие парапетов и вытяжек на кровле выполнить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из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оцинкованной стали с порошковым покрытием;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зонты покрытия вентиляционных шахт выполнить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из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оцинкованной стали на металлическом каркасе;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- приямки монолитные железобетонные с облицовкой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в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соответствии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с объемно – пространственным решением;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 xml:space="preserve">- крыльца монолитные железобетонные с облицовкой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в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 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соответствии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с объемно – пространственным решением;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входные двери в подвал металлические;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отливы окон – оцинкованная сталь с порошковым покрытием;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Для затаривания мелкоштучных материалов в наружных стенах предусмотреть,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в последствии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заделываемые, проемы шириной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4F5B27">
                <w:rPr>
                  <w:rFonts w:cstheme="minorHAnsi"/>
                  <w:sz w:val="28"/>
                  <w:szCs w:val="28"/>
                </w:rPr>
                <w:t>1,3 метра</w:t>
              </w:r>
            </w:smartTag>
            <w:r w:rsidRPr="004F5B27">
              <w:rPr>
                <w:rFonts w:cstheme="minorHAnsi"/>
                <w:sz w:val="28"/>
                <w:szCs w:val="28"/>
              </w:rPr>
              <w:t xml:space="preserve">. Проемы предусматривать в помещениях с шириной дверного проема, выходящего в общий коридор, </w:t>
            </w:r>
            <w:smartTag w:uri="urn:schemas-microsoft-com:office:smarttags" w:element="metricconverter">
              <w:smartTagPr>
                <w:attr w:name="ProductID" w:val="1,2 метра"/>
              </w:smartTagPr>
              <w:r w:rsidRPr="004F5B27">
                <w:rPr>
                  <w:rFonts w:cstheme="minorHAnsi"/>
                  <w:sz w:val="28"/>
                  <w:szCs w:val="28"/>
                </w:rPr>
                <w:t>1,2 метра</w:t>
              </w:r>
            </w:smartTag>
            <w:r w:rsidRPr="004F5B27">
              <w:rPr>
                <w:rFonts w:cstheme="minorHAnsi"/>
                <w:sz w:val="28"/>
                <w:szCs w:val="28"/>
              </w:rPr>
              <w:t>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Характеристики конструкций уточняются на стадии «П»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Основные требования к инженерному обеспечению,  сетям,   технологическому  и инженерному оборудованию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1" w:type="dxa"/>
          </w:tcPr>
          <w:p w:rsidR="004F5B27" w:rsidRPr="004F5B27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5B27">
              <w:rPr>
                <w:rFonts w:cstheme="minorHAnsi"/>
                <w:b/>
                <w:sz w:val="28"/>
                <w:szCs w:val="28"/>
              </w:rPr>
              <w:t>Теплоснабжение.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Теплоноситель - горячая вода с температурой  в соответствии с ТУ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энергоснабжающей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 организации.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Требуемые параметры для теплоносителя системы отопления обеспечиваются индивидуальным тепловым пунктом (ИТП).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4F5B27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5B27">
              <w:rPr>
                <w:rFonts w:cstheme="minorHAnsi"/>
                <w:b/>
                <w:sz w:val="28"/>
                <w:szCs w:val="28"/>
              </w:rPr>
              <w:t>Системы водопровода холодной воды.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Водоснабжение предусмотреть в соответствии с ТУ на водоснабжение.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Вода подается на хозяйственно-питьевые нужды, наружное пожаротушение, поливку территории, подпитку системы отопления.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В здании запроектировать следующие системы водопровода: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система хозяйственно-питьевого водопровода помещений;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- система противопожарного водопровода всего здания;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4F5B27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5B27">
              <w:rPr>
                <w:rFonts w:cstheme="minorHAnsi"/>
                <w:b/>
                <w:sz w:val="28"/>
                <w:szCs w:val="28"/>
              </w:rPr>
              <w:t>Системы водопровода горячей воды.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В здании запроектировать систему централизованного горячего водоснабжения в соответствии с ТУ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энергоснабжающей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 организации.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Систему водопровода горячей воды предусмотреть кольцевой, с нижней  разводкой, с циркуляцией воды через циркуляционный стояк и магистраль.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4F5B27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5B27">
              <w:rPr>
                <w:rFonts w:cstheme="minorHAnsi"/>
                <w:b/>
                <w:sz w:val="28"/>
                <w:szCs w:val="28"/>
              </w:rPr>
              <w:t>Канализация.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F5B27">
              <w:rPr>
                <w:rFonts w:cstheme="minorHAnsi"/>
                <w:sz w:val="28"/>
                <w:szCs w:val="28"/>
              </w:rPr>
              <w:t>Канализование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 предусмотреть в соответствии с ТУ на водоотведение.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В здании запроектировать следующие системы  внутренней канализации: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бытовая канализация самотечная - для отведения сточных вод от санитарно-технических приборов;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напорная канализация - с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погружными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 насосами в приямках - для отведения бытовых утечек воды из инженерных систем в подвале;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внутренние водостоки - для отведения дождевых и талых вод с кровли.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4F5B27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5B27">
              <w:rPr>
                <w:rFonts w:cstheme="minorHAnsi"/>
                <w:b/>
                <w:sz w:val="28"/>
                <w:szCs w:val="28"/>
              </w:rPr>
              <w:t>Дренаж.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В зависимости от гидрологического состояния площадки под строительство при необходимости предусмотреть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прифундаментный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 дренаж.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4F5B27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5B27">
              <w:rPr>
                <w:rFonts w:cstheme="minorHAnsi"/>
                <w:b/>
                <w:sz w:val="28"/>
                <w:szCs w:val="28"/>
              </w:rPr>
              <w:lastRenderedPageBreak/>
              <w:t>Электрооборудование.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Электроснабжение предусмотреть в соответствии с ТУ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энергоснабжающих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 организаций.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Категория надёжности электроснабжения вторая.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Для обеспечения выделенной группы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электроприёмников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, 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требующих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первой категории надёжности предусмотреть устройство автоматического включения резерва (АВР).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Сменяемость скрытой проводки обеспечить гофрированной ПВХ трубой наружным диаметром 25мм для проводов сечением до 6 мм</w:t>
            </w:r>
            <w:proofErr w:type="gramStart"/>
            <w:r w:rsidRPr="004F5B27">
              <w:rPr>
                <w:rFonts w:cstheme="minorHAnsi"/>
                <w:sz w:val="28"/>
                <w:szCs w:val="28"/>
              </w:rPr>
              <w:t>2</w:t>
            </w:r>
            <w:proofErr w:type="gramEnd"/>
            <w:r w:rsidRPr="004F5B27">
              <w:rPr>
                <w:rFonts w:cstheme="minorHAnsi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F5B27">
                <w:rPr>
                  <w:rFonts w:cstheme="minorHAnsi"/>
                  <w:sz w:val="28"/>
                  <w:szCs w:val="28"/>
                </w:rPr>
                <w:t>32 мм</w:t>
              </w:r>
            </w:smartTag>
            <w:r w:rsidRPr="004F5B27">
              <w:rPr>
                <w:rFonts w:cstheme="minorHAnsi"/>
                <w:sz w:val="28"/>
                <w:szCs w:val="28"/>
              </w:rPr>
              <w:t xml:space="preserve"> для проводов сечением более 6 мм2.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Счетчики учета электроэнергии расположить в ГРЩ.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В качестве контура заземления электроустановки, системы уравнивания потенциалов и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молниезащиты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 использовать фундамент здания.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В качестве токоотводов системы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молниезащиты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 использовать арматуру железобетонных конструкций.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В качестве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молниеприемников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 использовать металлические элементы кровли.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Линии, питающие розеточные сети и освещение влажных помещений, защитить дифференциальными автоматами или автоматическими выключателями совместно с устройствами защитного отключения. Устройства, реагирующие на дифференциальный ток, должны быть типа АС.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Предусмотреть минимально возможную высоту установки розеток. Высоту установки выключателей освещения принять равной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F5B27">
                <w:rPr>
                  <w:rFonts w:cstheme="minorHAnsi"/>
                  <w:sz w:val="28"/>
                  <w:szCs w:val="28"/>
                </w:rPr>
                <w:t>1 м</w:t>
              </w:r>
            </w:smartTag>
            <w:r w:rsidRPr="004F5B27">
              <w:rPr>
                <w:rFonts w:cstheme="minorHAnsi"/>
                <w:sz w:val="28"/>
                <w:szCs w:val="28"/>
              </w:rPr>
              <w:t>.</w:t>
            </w:r>
          </w:p>
          <w:p w:rsidR="004F5B27" w:rsidRPr="004F5B27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5B27">
              <w:rPr>
                <w:rFonts w:cstheme="minorHAnsi"/>
                <w:b/>
                <w:sz w:val="28"/>
                <w:szCs w:val="28"/>
              </w:rPr>
              <w:t>Вентиляция.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Вентиляцию запроектировать приточно-вытяжную с механическим побуждением воздуха.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4F5B27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5B27">
              <w:rPr>
                <w:rFonts w:cstheme="minorHAnsi"/>
                <w:b/>
                <w:sz w:val="28"/>
                <w:szCs w:val="28"/>
              </w:rPr>
              <w:t xml:space="preserve">Аварийная </w:t>
            </w:r>
            <w:proofErr w:type="spellStart"/>
            <w:r w:rsidRPr="004F5B27">
              <w:rPr>
                <w:rFonts w:cstheme="minorHAnsi"/>
                <w:b/>
                <w:sz w:val="28"/>
                <w:szCs w:val="28"/>
              </w:rPr>
              <w:t>противодымная</w:t>
            </w:r>
            <w:proofErr w:type="spellEnd"/>
            <w:r w:rsidRPr="004F5B27">
              <w:rPr>
                <w:rFonts w:cstheme="minorHAnsi"/>
                <w:b/>
                <w:sz w:val="28"/>
                <w:szCs w:val="28"/>
              </w:rPr>
              <w:t xml:space="preserve"> защита и противопожарные мероприятия.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Запроектировать в соответствии с существующими нормативами.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4F5B27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5B27">
              <w:rPr>
                <w:rFonts w:cstheme="minorHAnsi"/>
                <w:b/>
                <w:sz w:val="28"/>
                <w:szCs w:val="28"/>
              </w:rPr>
              <w:t>Проводное радиовещание, телефонизация и телевидение.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Проект радиофикации, телефонизации и телевидения  выполнить в соответствии с ТУ оператора. Проектом предусмотреть структурированную кабельную сеть, телефонизацию, радиофикацию, электронную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часофикацию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>, широковещательное телевидение, громкоговорящую связь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Разводку осуществить до поэтажных распределительных телефонных коробок.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4F5B27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5B27">
              <w:rPr>
                <w:rFonts w:cstheme="minorHAnsi"/>
                <w:b/>
                <w:sz w:val="28"/>
                <w:szCs w:val="28"/>
              </w:rPr>
              <w:t>Диспетчеризация инженерного оборудования.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Запроектировать в соответствии с существующими нормативами.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Характеристики систем уточнить на стадии «П».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Сметная стоимость строительства в базе на 01.01.2001 г. Всего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В т.ч. СМР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Определить проектом</w:t>
            </w:r>
          </w:p>
          <w:p w:rsidR="004F5B27" w:rsidRPr="004F5B27" w:rsidRDefault="004F5B27" w:rsidP="004F5B27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Сводный сметный расчет стоимости строительства административно-бытового корпуса с гостиничными номерами для размещения участников соревнований (блок детско-юношеской спортивной школы).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Требования к благоустройству 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В соответствии с требованиями  действующей нормативной документации, согласованным генеральным планом и согласованным объёмно-пространственным решением.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покрытия проездов и тротуаров – асфальтобетон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покрытия дорожек – набивное покрытие из кирпичной крошки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бордюрные камни – бетонные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покрытие площадок ТБО – монолитная железобетонная плита.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Требования о необходимости согласований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Согласование проекта в надзирающих инстанциях выполняет Заказчик.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Исполнитель осуществляет техническую поддержку и устраняет замечания, вызванные его ошибочными действиями.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техническую поддержку проекта (подачу проекта, работу с экспертами, снятие замечаний, получение заключения) в Управлении государственной экспертизы выполняет Исполнитель.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Основные планировочные и функциональные решения согласовать с Заказчиком.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Требования о необходимости авторского надзора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Ведение авторского надзора за строительством осуществить по отдельному договору. По СП 11-110-99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Состав и количество материалов передаваемых Исполнителем </w:t>
            </w:r>
            <w:r w:rsidRPr="004F5B27">
              <w:rPr>
                <w:rFonts w:cstheme="minorHAnsi"/>
                <w:sz w:val="28"/>
                <w:szCs w:val="28"/>
              </w:rPr>
              <w:lastRenderedPageBreak/>
              <w:t>Заказчику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Документация выполняется: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- стадия «П» - в 2-х экземплярах: 1 экземпляр остается в архиве Исполнителя; 1 экземпляр передаются Заказчику.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 xml:space="preserve">- стадия «Р» - в 5-и экземплярах: 1 экземпляр остается в архиве Исполнителя; 4-е экземпляра передаются Заказчику, два в несброшюрованном виде. </w:t>
            </w:r>
          </w:p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 xml:space="preserve">Также Заказчику передается электронная копия проектной документации в формате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pdf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F5B27">
              <w:rPr>
                <w:rFonts w:cstheme="minorHAnsi"/>
                <w:sz w:val="28"/>
                <w:szCs w:val="28"/>
              </w:rPr>
              <w:t>doc</w:t>
            </w:r>
            <w:proofErr w:type="spellEnd"/>
            <w:r w:rsidRPr="004F5B27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Необходимость  выполнения  дополнительных  экземпляров  проектной  документации  или  её  частей.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Проектно-сметную документацию предоставить Заказчику на  электронном  носителе в 2х экземплярах.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Требования по сроку гарантий качества на результаты работ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Срок, в течение которого Исполнитель принимает претензии на обнаруженные дефекты после подписания акта выполненных работ, должен быть не менее одного года с момента передачи Заказчику проекта выполненного в полном объеме на строительство.</w:t>
            </w:r>
          </w:p>
        </w:tc>
      </w:tr>
      <w:tr w:rsidR="004F5B27" w:rsidRPr="004F5B27" w:rsidTr="0085189D">
        <w:tc>
          <w:tcPr>
            <w:tcW w:w="709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2160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Требования по объему гарантий качества работ</w:t>
            </w:r>
          </w:p>
        </w:tc>
        <w:tc>
          <w:tcPr>
            <w:tcW w:w="7031" w:type="dxa"/>
          </w:tcPr>
          <w:p w:rsidR="004F5B27" w:rsidRPr="004F5B27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4F5B27">
              <w:rPr>
                <w:rFonts w:cstheme="minorHAnsi"/>
                <w:sz w:val="28"/>
                <w:szCs w:val="28"/>
              </w:rPr>
              <w:t>Гарантии   качества   должны   быть   представлены на весь объем выполненных работ.</w:t>
            </w:r>
          </w:p>
        </w:tc>
      </w:tr>
    </w:tbl>
    <w:p w:rsidR="00F37A46" w:rsidRPr="004F5B27" w:rsidRDefault="00F37A46">
      <w:pPr>
        <w:rPr>
          <w:rFonts w:cstheme="minorHAnsi"/>
          <w:sz w:val="28"/>
          <w:szCs w:val="28"/>
        </w:rPr>
      </w:pPr>
    </w:p>
    <w:sectPr w:rsidR="00F37A46" w:rsidRPr="004F5B27" w:rsidSect="00A9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F5B27"/>
    <w:rsid w:val="000974CD"/>
    <w:rsid w:val="004F5B27"/>
    <w:rsid w:val="00677A5F"/>
    <w:rsid w:val="00A9541C"/>
    <w:rsid w:val="00C7053D"/>
    <w:rsid w:val="00F3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2024</Words>
  <Characters>11538</Characters>
  <Application>Microsoft Office Word</Application>
  <DocSecurity>0</DocSecurity>
  <Lines>96</Lines>
  <Paragraphs>27</Paragraphs>
  <ScaleCrop>false</ScaleCrop>
  <Company>DNA Project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2014-05-30T08:08:00Z</dcterms:created>
  <dcterms:modified xsi:type="dcterms:W3CDTF">2014-05-30T09:25:00Z</dcterms:modified>
</cp:coreProperties>
</file>