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9E" w:rsidRDefault="00EA029E" w:rsidP="00EA029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Default="00EA029E" w:rsidP="00EA029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Default="00EA029E" w:rsidP="00EA029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Default="00EA029E" w:rsidP="00EA029E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Pr="00AC254C" w:rsidRDefault="00EA029E" w:rsidP="00EA029E">
      <w:pPr>
        <w:widowControl w:val="0"/>
        <w:spacing w:after="0"/>
        <w:ind w:left="737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029E" w:rsidRDefault="00EA029E" w:rsidP="00EA029E">
      <w:pPr>
        <w:spacing w:after="0"/>
        <w:ind w:left="7371" w:right="2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Государственному контракту</w:t>
      </w:r>
    </w:p>
    <w:p w:rsidR="00EA029E" w:rsidRDefault="00EA029E" w:rsidP="00EA029E">
      <w:pPr>
        <w:spacing w:after="0"/>
        <w:ind w:left="7371" w:right="2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№ГК-07-189/13</w:t>
      </w:r>
    </w:p>
    <w:p w:rsidR="00EA029E" w:rsidRPr="00AC254C" w:rsidRDefault="00EA029E" w:rsidP="00EA029E">
      <w:pPr>
        <w:spacing w:after="0"/>
        <w:ind w:left="7371" w:right="2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__________________2013 г.</w:t>
      </w:r>
    </w:p>
    <w:p w:rsidR="00EA029E" w:rsidRPr="00AC254C" w:rsidRDefault="00EA029E" w:rsidP="00EA029E">
      <w:pPr>
        <w:widowControl w:val="0"/>
        <w:tabs>
          <w:tab w:val="left" w:pos="993"/>
          <w:tab w:val="left" w:pos="1276"/>
          <w:tab w:val="left" w:pos="1418"/>
          <w:tab w:val="left" w:pos="7088"/>
        </w:tabs>
        <w:suppressAutoHyphens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Default="00EA029E" w:rsidP="00EA029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Pr="00AC254C" w:rsidRDefault="00EA029E" w:rsidP="00EA02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Pr="00AC254C" w:rsidRDefault="00EA029E" w:rsidP="00EA029E">
      <w:pPr>
        <w:widowControl w:val="0"/>
        <w:tabs>
          <w:tab w:val="left" w:pos="993"/>
          <w:tab w:val="left" w:pos="1276"/>
          <w:tab w:val="left" w:pos="1418"/>
          <w:tab w:val="left" w:pos="7088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Техническое задание</w:t>
      </w:r>
    </w:p>
    <w:p w:rsidR="00EA029E" w:rsidRPr="007566DC" w:rsidRDefault="00EA029E" w:rsidP="00EA029E">
      <w:pPr>
        <w:spacing w:after="0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566D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 выполнение работ по разработке проектно-сметной документации по устройству архивов для нужд Филиалов ФКУ «Налог-Сервис» ФНС России</w:t>
      </w:r>
    </w:p>
    <w:p w:rsidR="00EA029E" w:rsidRPr="00AC254C" w:rsidRDefault="00EA029E" w:rsidP="00EA029E">
      <w:pPr>
        <w:spacing w:after="0"/>
        <w:jc w:val="center"/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ru-RU"/>
        </w:rPr>
      </w:pPr>
    </w:p>
    <w:p w:rsidR="00EA029E" w:rsidRPr="00AC254C" w:rsidRDefault="00EA029E" w:rsidP="00EA029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Pr="00AC254C" w:rsidRDefault="00EA029E" w:rsidP="00EA029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ДЛЯ РАЗМЕЩЕНИЯ ЗАКАЗА</w:t>
      </w:r>
    </w:p>
    <w:p w:rsidR="00EA029E" w:rsidRPr="00AC254C" w:rsidRDefault="00EA029E" w:rsidP="00EA02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размещения заказов для нужд ФКУ «Налог-Сервис» ФНС России на 2013 год, утвержденный приказом Генерального директора  ФКУ «Налог-Сервис» ФНС России.</w:t>
      </w:r>
    </w:p>
    <w:p w:rsidR="00EA029E" w:rsidRPr="00AC254C" w:rsidRDefault="00EA029E" w:rsidP="00EA02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Pr="00AC254C" w:rsidRDefault="00EA029E" w:rsidP="00EA029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ЗАКАЗЧИК</w:t>
      </w:r>
    </w:p>
    <w:p w:rsidR="00EA029E" w:rsidRPr="00AC254C" w:rsidRDefault="00EA029E" w:rsidP="00EA02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казенное учреждение «Налог-Сервис» Федеральной налоговой службы (г. Москва) (ФКУ «Налог-Сервис» ФНС России) (далее – Заказчик).</w:t>
      </w:r>
      <w:proofErr w:type="gramEnd"/>
    </w:p>
    <w:p w:rsidR="00EA029E" w:rsidRPr="00AC254C" w:rsidRDefault="00EA029E" w:rsidP="00EA02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Pr="00AC254C" w:rsidRDefault="00EA029E" w:rsidP="00EA0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ИСТОЧНИК ФИНАНСИРОВАНИЯ: </w:t>
      </w:r>
    </w:p>
    <w:p w:rsidR="00EA029E" w:rsidRPr="00AC254C" w:rsidRDefault="00EA029E" w:rsidP="00EA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бюджет</w:t>
      </w:r>
    </w:p>
    <w:p w:rsidR="00EA029E" w:rsidRPr="00AC254C" w:rsidRDefault="00EA029E" w:rsidP="00EA0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Pr="00AC254C" w:rsidRDefault="00EA029E" w:rsidP="00EA029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ЦЕЛЬ И КРАТКИЕ ХАРАКТЕРИСТИКИ ВЫПОЛНЯЕМЫХ РАБОТ, ОКАЗЫВАЕМЫХ УСЛУГ И ПОСТАВЛЯЕМЫХ ТОВАРОВ.</w:t>
      </w:r>
    </w:p>
    <w:p w:rsidR="00EA029E" w:rsidRPr="00AC254C" w:rsidRDefault="00EA029E" w:rsidP="00EA02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Инженерно-техническое обследование строительных конструкций зданий и инженерных систем, и последующая разработка проектно-сметной документации по устройству архивов для административных зданий филиалов ФКУ «Налог-Сервис» ФНС России.</w:t>
      </w:r>
    </w:p>
    <w:p w:rsidR="00EA029E" w:rsidRPr="00AC254C" w:rsidRDefault="00EA029E" w:rsidP="00EA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проектно-сметной документации в установленном порядке в соответствии с действующим законодательством РФ, в том числе по соответствующим субъектам РФ.  </w:t>
      </w:r>
    </w:p>
    <w:p w:rsidR="00EA029E" w:rsidRPr="00AC254C" w:rsidRDefault="00EA029E" w:rsidP="00EA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Pr="00AC254C" w:rsidRDefault="00EA029E" w:rsidP="00EA0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КОЛИЧЕСТВО И ХАРАКТЕРИСТИКИ ОТЧЕТНОЙ ДОКУМЕНТАЦИИ ПО РЕЗУЛЬТАТАМ ПРОЕКТНО-ИЗЫСКАТЕЛЬСКИХ РАБОТ.</w:t>
      </w:r>
    </w:p>
    <w:p w:rsidR="00EA029E" w:rsidRPr="00AC254C" w:rsidRDefault="00EA029E" w:rsidP="00EA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результатам инженерно-технического обследования и проектно–сметная документация на бумажном носителе в 5 экземплярах и в 1 экземпляре на электронном носителе в форматах DOC, PDF и DWG, оригиналы всех согласований, оригинал положительного Заключения негосударственной экспертной организации по результатам </w:t>
      </w: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оценки соответствия сметной стоимости объекта капитального ремонта, финансируемого за счёт средств федерального бюджета, нормативам в области нормирования и ценообразования.</w:t>
      </w:r>
      <w:proofErr w:type="gramEnd"/>
    </w:p>
    <w:p w:rsidR="00EA029E" w:rsidRPr="00AC254C" w:rsidRDefault="00EA029E" w:rsidP="00EA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Pr="00AC254C" w:rsidRDefault="00EA029E" w:rsidP="00EA029E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ПРОВЕДЕНИЯ РАБОТ, АДРЕСА И ХАРАКТЕРИСТИКИ ОБЪЕКТОВ ВЫПОЛНЕНИЯ РАБОТ</w:t>
      </w:r>
    </w:p>
    <w:p w:rsidR="00EA029E" w:rsidRPr="00AC254C" w:rsidRDefault="00EA029E" w:rsidP="00EA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ПСД по устройству архивов по адресам, указанным в Таблице №1 «Перечень объектов выполняемых работ» настоящего Технического задания. </w:t>
      </w:r>
    </w:p>
    <w:p w:rsidR="00EA029E" w:rsidRPr="00AC254C" w:rsidRDefault="00EA029E" w:rsidP="00EA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Pr="00AC254C" w:rsidRDefault="00EA029E" w:rsidP="00EA02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Pr="00AC254C" w:rsidRDefault="00EA029E" w:rsidP="00EA02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№1. Перечень объектов выполняемых Работ.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8"/>
        <w:gridCol w:w="5801"/>
      </w:tblGrid>
      <w:tr w:rsidR="00EA029E" w:rsidRPr="00AC254C" w:rsidTr="009C51A8">
        <w:tc>
          <w:tcPr>
            <w:tcW w:w="3936" w:type="dxa"/>
          </w:tcPr>
          <w:p w:rsidR="00EA029E" w:rsidRPr="00AC254C" w:rsidRDefault="00EA029E" w:rsidP="009C51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филиала</w:t>
            </w:r>
          </w:p>
        </w:tc>
        <w:tc>
          <w:tcPr>
            <w:tcW w:w="6201" w:type="dxa"/>
          </w:tcPr>
          <w:p w:rsidR="00EA029E" w:rsidRPr="00AC254C" w:rsidRDefault="00EA029E" w:rsidP="009C51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здания</w:t>
            </w:r>
          </w:p>
        </w:tc>
      </w:tr>
      <w:tr w:rsidR="00EA029E" w:rsidRPr="00AC254C" w:rsidTr="009C51A8">
        <w:tc>
          <w:tcPr>
            <w:tcW w:w="3936" w:type="dxa"/>
          </w:tcPr>
          <w:p w:rsidR="00EA029E" w:rsidRPr="00AC254C" w:rsidRDefault="00EA029E" w:rsidP="009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обл. пос. г.т. Хотынец, ул. Ленина, д. 42</w:t>
            </w:r>
          </w:p>
        </w:tc>
        <w:tc>
          <w:tcPr>
            <w:tcW w:w="6201" w:type="dxa"/>
          </w:tcPr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здания – 1967 год. 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Двухэтажное здание. Фундамент – бутовые блоки. Стены и перегородки – кирпичные. Перекрытия – сборные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плиты. Кровля – шифер.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сети: отопление – от котельной; водоснабжение – автономное; газоснабжение – центральное; электроснабжение, электроосвещение.</w:t>
            </w:r>
            <w:proofErr w:type="gramEnd"/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подлежащих проектированию – 613,6 кв.м.</w:t>
            </w:r>
          </w:p>
        </w:tc>
      </w:tr>
      <w:tr w:rsidR="00EA029E" w:rsidRPr="00AC254C" w:rsidTr="009C51A8">
        <w:tc>
          <w:tcPr>
            <w:tcW w:w="3936" w:type="dxa"/>
          </w:tcPr>
          <w:p w:rsidR="00EA029E" w:rsidRPr="00AC254C" w:rsidRDefault="00EA029E" w:rsidP="009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Пензенская обл., р.п.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Колышлей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Садовая, д.52 </w:t>
            </w:r>
          </w:p>
        </w:tc>
        <w:tc>
          <w:tcPr>
            <w:tcW w:w="6201" w:type="dxa"/>
          </w:tcPr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здания – 1991 год. 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Двухэтажное здание. Фундаменты: сборные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блоки. Стены и перегородки – кирпичные. Перекрытия  - сборные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плиты. Кровля – кровельное железо.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сети: отопление –  центральное; водоснабжение, канализация, электроснабжение, электроосвещение, радио, телефон.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подлежащих проектированию – 651,8 кв.м.</w:t>
            </w:r>
          </w:p>
        </w:tc>
      </w:tr>
      <w:tr w:rsidR="00EA029E" w:rsidRPr="00AC254C" w:rsidTr="009C51A8">
        <w:trPr>
          <w:trHeight w:val="699"/>
        </w:trPr>
        <w:tc>
          <w:tcPr>
            <w:tcW w:w="3936" w:type="dxa"/>
          </w:tcPr>
          <w:p w:rsidR="00EA029E" w:rsidRPr="00AC254C" w:rsidRDefault="00EA029E" w:rsidP="009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г. Печоры, ул. Ленина, д.30 </w:t>
            </w:r>
          </w:p>
        </w:tc>
        <w:tc>
          <w:tcPr>
            <w:tcW w:w="6201" w:type="dxa"/>
          </w:tcPr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здания – 1976 год. 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Двухэтажное здание. Фундамент – ленточный бутовый. Стены и перегородки – кирпичные. Перекрытия  - сборные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плиты. Кровля – шифер.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Инженерные сети: отопление –  центральное; водоснабжение, канализация, электроснабжение, электроосвещение, телефон.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подлежащих проектированию – 450,4 кв.м.</w:t>
            </w:r>
          </w:p>
        </w:tc>
      </w:tr>
      <w:tr w:rsidR="00EA029E" w:rsidRPr="00AC254C" w:rsidTr="009C51A8">
        <w:trPr>
          <w:trHeight w:val="699"/>
        </w:trPr>
        <w:tc>
          <w:tcPr>
            <w:tcW w:w="3936" w:type="dxa"/>
          </w:tcPr>
          <w:p w:rsidR="00EA029E" w:rsidRPr="00AC254C" w:rsidRDefault="00EA029E" w:rsidP="009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Липецк, пл. Революции, д.10А</w:t>
            </w:r>
          </w:p>
        </w:tc>
        <w:tc>
          <w:tcPr>
            <w:tcW w:w="6201" w:type="dxa"/>
          </w:tcPr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здания – 1953 год. 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Двухэтажное здание. Фундамент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енточный бутовый. Стены и перегородки – кирпичные. Перекрытия – металлический настил по металлическим балкам (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чердачное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деревянные. Кровля – кровельное оцинкованное железо.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сети: отопление –  центральное; водоснабжение – центральное; канализация - центральная, электроснабжение, электроосвещение, телефон.</w:t>
            </w:r>
            <w:proofErr w:type="gramEnd"/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подлежащих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проектированию – 145,2 кв.м.</w:t>
            </w:r>
          </w:p>
        </w:tc>
      </w:tr>
      <w:tr w:rsidR="00EA029E" w:rsidRPr="00AC254C" w:rsidTr="009C51A8">
        <w:trPr>
          <w:trHeight w:val="550"/>
        </w:trPr>
        <w:tc>
          <w:tcPr>
            <w:tcW w:w="3936" w:type="dxa"/>
          </w:tcPr>
          <w:p w:rsidR="00EA029E" w:rsidRPr="00AC254C" w:rsidRDefault="00EA029E" w:rsidP="009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Курск, ул. М.Горького, д.37</w:t>
            </w:r>
          </w:p>
        </w:tc>
        <w:tc>
          <w:tcPr>
            <w:tcW w:w="6201" w:type="dxa"/>
          </w:tcPr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здания – 1996 год. 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Двухэтажное здание.  Фундаменты –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блоки. Наружные стены – панели. Перегородки – гипсолитовые. Перекрытия –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плиты. Кровля – рулонная совмещенная.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сети: отопление, водоснабжение, канализация, электроснабжение, электроосвещение, радио, телефон.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подлежащих проектированию – 1136,8 кв.м.</w:t>
            </w:r>
          </w:p>
        </w:tc>
      </w:tr>
      <w:tr w:rsidR="00EA029E" w:rsidRPr="00AC254C" w:rsidTr="009C51A8">
        <w:tc>
          <w:tcPr>
            <w:tcW w:w="3936" w:type="dxa"/>
          </w:tcPr>
          <w:p w:rsidR="00EA029E" w:rsidRPr="00AC254C" w:rsidRDefault="00EA029E" w:rsidP="009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Кормиловский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р.п. Кормиловка, ул. Коммунистическая,  д.5</w:t>
            </w:r>
          </w:p>
        </w:tc>
        <w:tc>
          <w:tcPr>
            <w:tcW w:w="6201" w:type="dxa"/>
          </w:tcPr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здания 1995 год. 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Двухэтажное здание. Двухэтажное здание.  Фундаменты –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блоки. Стены и перегородки – кирпичные. Перекрытия –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плиты. Кровля – рулонная плоская.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сети: отопление –  центральное; водоснабжение – центральное; канализация - центральная, электроснабжение, электроосвещение, телефон, телевидение.</w:t>
            </w:r>
            <w:proofErr w:type="gramEnd"/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подлежащих проектированию – 824,3 кв.м.</w:t>
            </w:r>
          </w:p>
        </w:tc>
      </w:tr>
      <w:tr w:rsidR="00EA029E" w:rsidRPr="00AC254C" w:rsidTr="009C51A8">
        <w:tc>
          <w:tcPr>
            <w:tcW w:w="3936" w:type="dxa"/>
          </w:tcPr>
          <w:p w:rsidR="00EA029E" w:rsidRPr="00AC254C" w:rsidRDefault="00EA029E" w:rsidP="009C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обл., г. Троицк, ул. Гагарина, д. 49</w:t>
            </w:r>
          </w:p>
        </w:tc>
        <w:tc>
          <w:tcPr>
            <w:tcW w:w="6201" w:type="dxa"/>
          </w:tcPr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здания – 1997 год. 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Трехэтажное здание с подвалом.  Фундаменты –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блоки. Стены и перегородки – кирпичные. Перекрытия –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плиты. Кровля – кровельное оцинкованное железо.</w:t>
            </w:r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сети: отопление –  центральное; водоснабжение – центральное; канализация - центральная, электроснабжение, электроосвещение, телефон, радио.</w:t>
            </w:r>
            <w:proofErr w:type="gramEnd"/>
          </w:p>
          <w:p w:rsidR="00EA029E" w:rsidRPr="00AC254C" w:rsidRDefault="00EA029E" w:rsidP="009C51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подлежащих проектированию – 2738,9 кв.м.</w:t>
            </w:r>
          </w:p>
        </w:tc>
      </w:tr>
    </w:tbl>
    <w:p w:rsidR="00EA029E" w:rsidRPr="00AC254C" w:rsidRDefault="00EA029E" w:rsidP="00EA02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Pr="00AC254C" w:rsidRDefault="00EA029E" w:rsidP="00EA029E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ВЫПОЛНЕНИЮ РАБОТ, ТРЕБОВАНИЯ ПО ОБЪЕМУ ГАРАНТИЙ КАЧЕСТВА, ТРЕБОВАНИЯ ПО СРОКУ ГАРАНТИЙ КАЧЕСТВА НА РЕЗУЛЬТАТЫ РАЗМЕЩЕНИЯ ЗАКАЗА:</w:t>
      </w:r>
    </w:p>
    <w:p w:rsidR="00EA029E" w:rsidRPr="00AC254C" w:rsidRDefault="00EA029E" w:rsidP="00EA029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ОБЩИЕ ТРЕБОВАНИЯ К ВЫПОЛНЕНИЮ РАБОТ</w:t>
      </w:r>
    </w:p>
    <w:p w:rsidR="00EA029E" w:rsidRPr="00AC254C" w:rsidRDefault="00EA029E" w:rsidP="00EA029E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данные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880"/>
        <w:gridCol w:w="7185"/>
      </w:tblGrid>
      <w:tr w:rsidR="00EA029E" w:rsidRPr="00AC254C" w:rsidTr="009C51A8">
        <w:trPr>
          <w:trHeight w:val="503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данных</w:t>
            </w:r>
          </w:p>
        </w:tc>
        <w:tc>
          <w:tcPr>
            <w:tcW w:w="7185" w:type="dxa"/>
          </w:tcPr>
          <w:p w:rsidR="00EA029E" w:rsidRPr="00AC254C" w:rsidRDefault="00EA029E" w:rsidP="009C51A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EA029E" w:rsidRPr="00AC254C" w:rsidTr="009C51A8">
        <w:trPr>
          <w:trHeight w:val="732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Основание для проектирования </w:t>
            </w:r>
          </w:p>
        </w:tc>
        <w:tc>
          <w:tcPr>
            <w:tcW w:w="7185" w:type="dxa"/>
            <w:vAlign w:val="center"/>
          </w:tcPr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размещения заказов для нужд ФКУ «Налог-Сервис» ФНС России на 2013 год, утвержденный приказом Генерального директора  ФКУ «Налог-Сервис» ФНС России.</w:t>
            </w:r>
          </w:p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условия, получаемые Подрядчиком (при необходимости)</w:t>
            </w:r>
          </w:p>
        </w:tc>
      </w:tr>
      <w:tr w:rsidR="00EA029E" w:rsidRPr="00AC254C" w:rsidTr="009C51A8">
        <w:trPr>
          <w:trHeight w:val="295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Заказчик</w:t>
            </w:r>
          </w:p>
        </w:tc>
        <w:tc>
          <w:tcPr>
            <w:tcW w:w="7185" w:type="dxa"/>
            <w:vAlign w:val="center"/>
          </w:tcPr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казенное учреждение «Налог-Сервис» Федеральной налоговой службы (г. Москва) (ФКУ «Налог-Сервис» ФНС России)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(далее – Заказчик).</w:t>
            </w:r>
            <w:proofErr w:type="gramEnd"/>
          </w:p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9E" w:rsidRPr="00AC254C" w:rsidTr="009C51A8">
        <w:trPr>
          <w:trHeight w:val="449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Функциональное назначение сооружений</w:t>
            </w:r>
          </w:p>
        </w:tc>
        <w:tc>
          <w:tcPr>
            <w:tcW w:w="7185" w:type="dxa"/>
            <w:vAlign w:val="center"/>
          </w:tcPr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Административные.</w:t>
            </w:r>
          </w:p>
        </w:tc>
      </w:tr>
      <w:tr w:rsidR="00EA029E" w:rsidRPr="00AC254C" w:rsidTr="009C51A8">
        <w:trPr>
          <w:trHeight w:val="276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Указания о выделении очередей проектирования, строительства и пусковых комплексов, их состав</w:t>
            </w:r>
          </w:p>
        </w:tc>
        <w:tc>
          <w:tcPr>
            <w:tcW w:w="7185" w:type="dxa"/>
            <w:vAlign w:val="center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выполнить в два этапа:</w:t>
            </w:r>
          </w:p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Подготовительные работы. Проведение инженерного и технического обследования конструкций. Разработка технического заключения по результатам обследования. Согласование проектного предложения с Заказчиком и балансодержателем.</w:t>
            </w:r>
          </w:p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– Разработка проектно-сметной документации по устройству архивов в административных зданиях. Согласование проектной документации с Заказчиком, балансодержателем,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энергоснабжающими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другими организациями, предусмотренными действующим законодательством РФ. </w:t>
            </w:r>
          </w:p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сметной стоимости объекта капитального ремонта, финансируемого за счёт средств федерального бюджета, нормативам в области нормирования и ценообразования</w:t>
            </w:r>
          </w:p>
        </w:tc>
      </w:tr>
      <w:tr w:rsidR="00EA029E" w:rsidRPr="00AC254C" w:rsidTr="009C51A8">
        <w:trPr>
          <w:trHeight w:val="276"/>
        </w:trPr>
        <w:tc>
          <w:tcPr>
            <w:tcW w:w="2880" w:type="dxa"/>
          </w:tcPr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Сроки начала проектирования</w:t>
            </w:r>
          </w:p>
        </w:tc>
        <w:tc>
          <w:tcPr>
            <w:tcW w:w="7185" w:type="dxa"/>
            <w:vAlign w:val="center"/>
          </w:tcPr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9E" w:rsidRPr="00AC254C" w:rsidTr="009C51A8">
        <w:trPr>
          <w:trHeight w:val="405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Источник финансирования работ</w:t>
            </w:r>
          </w:p>
        </w:tc>
        <w:tc>
          <w:tcPr>
            <w:tcW w:w="7185" w:type="dxa"/>
            <w:vAlign w:val="center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EA029E" w:rsidRPr="00AC254C" w:rsidTr="009C51A8">
        <w:trPr>
          <w:trHeight w:val="503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Категория сложности объекта </w:t>
            </w:r>
          </w:p>
        </w:tc>
        <w:tc>
          <w:tcPr>
            <w:tcW w:w="7185" w:type="dxa"/>
            <w:vAlign w:val="center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</w:t>
            </w:r>
          </w:p>
        </w:tc>
      </w:tr>
      <w:tr w:rsidR="00EA029E" w:rsidRPr="00AC254C" w:rsidTr="009C51A8">
        <w:trPr>
          <w:trHeight w:val="489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Стадийность проектирования </w:t>
            </w:r>
          </w:p>
        </w:tc>
        <w:tc>
          <w:tcPr>
            <w:tcW w:w="7185" w:type="dxa"/>
            <w:vAlign w:val="center"/>
          </w:tcPr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Одностадийное: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проектно-сметная документация (Стадия РП).</w:t>
            </w:r>
          </w:p>
        </w:tc>
      </w:tr>
      <w:tr w:rsidR="00EA029E" w:rsidRPr="00AC254C" w:rsidTr="009C51A8">
        <w:trPr>
          <w:trHeight w:val="834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Исходно-разрешительная документация </w:t>
            </w:r>
          </w:p>
        </w:tc>
        <w:tc>
          <w:tcPr>
            <w:tcW w:w="7185" w:type="dxa"/>
            <w:vAlign w:val="center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заказчиком:</w:t>
            </w:r>
          </w:p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Правоустанавливающие документы на объект, технический паспорт БТИ.</w:t>
            </w:r>
          </w:p>
        </w:tc>
      </w:tr>
      <w:tr w:rsidR="00EA029E" w:rsidRPr="00AC254C" w:rsidTr="009C51A8">
        <w:trPr>
          <w:trHeight w:val="1133"/>
        </w:trPr>
        <w:tc>
          <w:tcPr>
            <w:tcW w:w="2880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Согласование</w:t>
            </w:r>
          </w:p>
        </w:tc>
        <w:tc>
          <w:tcPr>
            <w:tcW w:w="7185" w:type="dxa"/>
          </w:tcPr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проектно-сметной документации с Заказчиком,  собственником (в части перепланировки помещений) и  другими организациями, предусмотренными действующим Законодательством РФ, в том числе по соответствующим субъектам РФ.  </w:t>
            </w:r>
          </w:p>
          <w:p w:rsidR="00EA029E" w:rsidRPr="00AC254C" w:rsidRDefault="00EA029E" w:rsidP="009C51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сметной стоимости объекта капитального ремонта, финансируемого за счёт средств федерального бюджета, нормативам в области нормирования и ценообразования Стоимость всех согласований и оценки соответствия сметной стоимости объекта капитального ремонта, финансируемого за счёт средств федерального бюджета, нормативам в области нормирования и ценообразования включены в стоимость контракта.</w:t>
            </w:r>
          </w:p>
        </w:tc>
      </w:tr>
    </w:tbl>
    <w:p w:rsidR="00EA029E" w:rsidRPr="00AC254C" w:rsidRDefault="00EA029E" w:rsidP="00EA0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Pr="00AC254C" w:rsidRDefault="00EA029E" w:rsidP="00EA0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ПРИ ВЫПОЛНЕНИИ РАБОТ ПО ИНЖЕНЕРНОМУ И ТЕХНИЧЕСКОМУ СОСТОЯНИЮ НЕСУЩИХ СТРОИТЕЛЬНЫХ КОНСТРУКЦИЙ И ИНЖЕНЕРНЫХ СИСТЕМ:</w:t>
      </w:r>
    </w:p>
    <w:p w:rsidR="00EA029E" w:rsidRPr="00AC254C" w:rsidRDefault="00EA029E" w:rsidP="00EA0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Pr="00AC254C" w:rsidRDefault="00EA029E" w:rsidP="00EA029E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Разработка выводов и выдача заключения по обследованию строительных конструкций зданий осуществляется согласно: СП 13-102-2003 «Правила обследования несущих строительных конструкций зданий и сооружений» и ГОСТ </w:t>
      </w:r>
      <w:proofErr w:type="gramStart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53778-2010 «Здания и сооружения. Правила обследования и мониторинга технического состояния».</w:t>
      </w:r>
    </w:p>
    <w:p w:rsidR="00EA029E" w:rsidRPr="00AC254C" w:rsidRDefault="00EA029E" w:rsidP="00EA029E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</w:t>
      </w: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 оповещает Заказчика о нештатных ситуациях (выявление дефектов, требующих незамедлительного принятия решений по их ликвидации).</w:t>
      </w:r>
    </w:p>
    <w:p w:rsidR="00EA029E" w:rsidRPr="00AC254C" w:rsidRDefault="00EA029E" w:rsidP="00EA029E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передается Заказчику только с сопроводительными письмами.</w:t>
      </w:r>
    </w:p>
    <w:p w:rsidR="00EA029E" w:rsidRPr="00AC254C" w:rsidRDefault="00EA029E" w:rsidP="00EA029E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составление технического отчета с указанием ориентировочных объемов дефектов и повреждений строительных конструкций объекта, устранение которых необходимо для обеспечения его нормальной эксплуатации. Указать на возможность перепланировки данного здания.</w:t>
      </w:r>
    </w:p>
    <w:p w:rsidR="00EA029E" w:rsidRPr="00AC254C" w:rsidRDefault="00EA029E" w:rsidP="00EA029E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Наличие свидетельства о допуске к определенному виду или видам работ, которые оказывают влияние на безопасность объектов капитального строительства в части вида работ по обследованию строительных конструкций зданий и сооружений с отметкой о допуске к работам, которые оказывают влияние на безопасность особо опасных, технически сложных объектов согласно статье 48.1. Градостроительного кодекса Российской Федерации.</w:t>
      </w:r>
    </w:p>
    <w:p w:rsidR="00EA029E" w:rsidRPr="00AC254C" w:rsidRDefault="00EA029E" w:rsidP="00EA02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Pr="00AC254C" w:rsidRDefault="00EA029E" w:rsidP="00EA0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СОДЕРЖАНИЕ РАБОТ ПО ИНЖЕНЕРНОМУ И ТЕХНИЧЕСКОМУ ОБСЛЕДОВАНИЮ КОНСТРУКЦИЙ И ИНЖЕНЕРНЫХ СИСТЕМ:</w:t>
      </w:r>
    </w:p>
    <w:p w:rsidR="00EA029E" w:rsidRPr="00AC254C" w:rsidRDefault="00EA029E" w:rsidP="00EA0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заключения по результатам технического обследования состояния конструкций обследуемого здания в соответствии с СП 13-102-2003 «Правила обследования несущих строительных конструкций зданий и сооружений», с указанием возможности или невозможности размещения архива с нагрузкой от стеллажей на 1 кв.м. пола – 900 кг и основным требованиям к объектам, указанным в Таблице №2. 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строительных конструкций и фундамента на предмет их текущего (фактического) состояния с расчетом несущей способности конструкций.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Визуальное и инструментальное обследование несущих и ограждающих конструкций, включая </w:t>
      </w:r>
      <w:proofErr w:type="gramStart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скрытые</w:t>
      </w:r>
      <w:proofErr w:type="gramEnd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технического состояния инженерных систем зданий и разработка рекомендаций по их ремонту или замене.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дефектов и повреждений элементов конструкций и узлов соединений.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усилению строительных конструкций.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несущей способности перекрытий и выдача рекомендаций по их усилению в том случае, если их несущая способность меньше 900 кг/м</w:t>
      </w:r>
      <w:proofErr w:type="gramStart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грунтов основания фундаментов.  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имеющейся технической документации по объекту обследования.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обмерных работ здания (всех этажей).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обследование здания. Нанесение выявленных дефектов и повреждений на схемы дефектов.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Визуальное обследование фундаментов и </w:t>
      </w:r>
      <w:proofErr w:type="spellStart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возможности доступа к основаниям фундамента проведение инструментальных измерений. 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Выполнение </w:t>
      </w:r>
      <w:proofErr w:type="spellStart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повреждений обследуемых конструкций с составлением дефектных ведомостей.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технического состояния строительных конструкций с необходимыми измерениями и </w:t>
      </w:r>
      <w:proofErr w:type="spellStart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фотофиксацией</w:t>
      </w:r>
      <w:proofErr w:type="spellEnd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обследование строительных конструкций здания на предмет определения прочностных характеристик бетона и кирпича неразрушающими методами контроля.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прочности бетона, кирпича.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Камеральная обработка результатов испытаний.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нарушения состояния строительных конструкций здания</w:t>
      </w:r>
      <w:proofErr w:type="gramEnd"/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по восстановлению, усилению или ремонту строительных конструкций.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образования выявленных дефектов и повреждений, степени их опасности, влияния на несущую способность и эксплуатационную пригодность конструкций.</w:t>
      </w:r>
    </w:p>
    <w:p w:rsidR="00EA029E" w:rsidRPr="00AC254C" w:rsidRDefault="00EA029E" w:rsidP="00EA029E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рекомендаций по поддержанию в безопасном состоянии обследуемых строительных конструкций с учетом выявленных  в ходе обследования дефектов и повреждений.</w:t>
      </w:r>
    </w:p>
    <w:p w:rsidR="00EA029E" w:rsidRPr="00AC254C" w:rsidRDefault="00EA029E" w:rsidP="00EA0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9E" w:rsidRPr="00AC254C" w:rsidRDefault="00EA029E" w:rsidP="00EA0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ТЕХНИЧЕСКИЕ ТРЕБОВАНИЯ К РАБОТАМ ПО РАЗРАБОТКЕ ПРОЕКТНО-СМЕТНОЙ ДОКУМЕНТАЦИИ ПО ПЕРЕПЛАНИРОВКЕ С ПЕРЕУСТРОЙСТВОМ ПОМЕЩЕНИЙ.</w:t>
      </w:r>
    </w:p>
    <w:p w:rsidR="00EA029E" w:rsidRPr="00AC254C" w:rsidRDefault="00EA029E" w:rsidP="00EA0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2" w:type="dxa"/>
        <w:tblLayout w:type="fixed"/>
        <w:tblLook w:val="0000"/>
      </w:tblPr>
      <w:tblGrid>
        <w:gridCol w:w="3261"/>
        <w:gridCol w:w="6804"/>
      </w:tblGrid>
      <w:tr w:rsidR="00EA029E" w:rsidRPr="00AC254C" w:rsidTr="009C51A8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29E" w:rsidRPr="00AC254C" w:rsidRDefault="00EA029E" w:rsidP="009C51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требований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9E" w:rsidRPr="00AC254C" w:rsidRDefault="00EA029E" w:rsidP="009C51A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требований</w:t>
            </w:r>
          </w:p>
        </w:tc>
      </w:tr>
      <w:tr w:rsidR="00EA029E" w:rsidRPr="00AC254C" w:rsidTr="009C51A8">
        <w:trPr>
          <w:trHeight w:val="12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29E" w:rsidRPr="00AC254C" w:rsidRDefault="00EA029E" w:rsidP="009C51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Общие требования к проектной документации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9E" w:rsidRPr="00AC254C" w:rsidRDefault="00EA029E" w:rsidP="009C51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разделов проектной документации и требования к содержанию этих разделов выполнить в соответствии с Градостроительным кодексом, «Положением о составе разделов проектной документации и требованиях к их содержанию», утвержденным Постановлением Правительства РФ от 16.02.2008 № 87 и действующими нормативными техническими требованиями. Оформление проектно-сметной документации выполнять в соответствии с ГОСТ 21.1101-2009 «Система проектной документации для строительства. Основные требования к проектной и рабочей документации» и иными действующими государственными стандартами системы проектной документации для строительства (СПДС), государственными стандартами единой системы конструкторской документации (ЕСКД), государственными стандартами и руководящими документами на автоматизированные системы (ГОСТ 34.601-90) и иными действующими техническими документами.</w:t>
            </w:r>
          </w:p>
        </w:tc>
      </w:tr>
      <w:tr w:rsidR="00EA029E" w:rsidRPr="00AC254C" w:rsidTr="009C51A8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Основные технико-экономические показатели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- 6561 м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EA029E" w:rsidRPr="00AC254C" w:rsidTr="009C51A8">
        <w:trPr>
          <w:trHeight w:val="4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029E" w:rsidRPr="00AC254C" w:rsidRDefault="00EA029E" w:rsidP="009C51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Состав проектной документации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«Пояснительная записка»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«Схема планировочной организации земельного участка»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 «Архитектурные решения» 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«Конструктивные и объемно-планировочные решения»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 «Сведения об инженерном оборудовании, о сетях инженерно-технического обеспечения, перечень инженерно-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мероприятий, содержание технологических решений» в составе следующих подразделов: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«Система электроснабжения»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«Система водоснабжения»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«Система водоотведения»</w:t>
            </w:r>
          </w:p>
          <w:p w:rsidR="00EA029E" w:rsidRPr="00AC254C" w:rsidRDefault="00EA029E" w:rsidP="009C51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«Отопление, вентиляция и кондиционирование воздуха. Тепловые сети»</w:t>
            </w:r>
          </w:p>
          <w:p w:rsidR="00EA029E" w:rsidRPr="00AC254C" w:rsidRDefault="00EA029E" w:rsidP="009C51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«Сети связи» (в т. ч. Системы видеонаблюдения, охранной и пожарной сигнализации)</w:t>
            </w:r>
          </w:p>
          <w:p w:rsidR="00EA029E" w:rsidRPr="00AC254C" w:rsidRDefault="00EA029E" w:rsidP="009C51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«Технологические решения» (в том числе предусмотреть систему газового пожаротушения архивохранилищ)</w:t>
            </w:r>
          </w:p>
          <w:p w:rsidR="00EA029E" w:rsidRPr="00AC254C" w:rsidRDefault="00EA029E" w:rsidP="009C51A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 "Проект организации капитального ремонта"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 «Перечень мероприятий по охране окружающей среды на период строительства и эксплуатации»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9 "Мероприятия по обеспечению пожарной безопасности"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10(1)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11 «Сметная документация»</w:t>
            </w:r>
          </w:p>
        </w:tc>
      </w:tr>
      <w:tr w:rsidR="00EA029E" w:rsidRPr="00AC254C" w:rsidTr="009C51A8">
        <w:trPr>
          <w:trHeight w:val="4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029E" w:rsidRPr="00AC254C" w:rsidRDefault="00EA029E" w:rsidP="009C51A8">
            <w:pPr>
              <w:snapToGrid w:val="0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4.Требования к планировочной организации земельного участка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действующими нормами.</w:t>
            </w:r>
          </w:p>
        </w:tc>
      </w:tr>
      <w:tr w:rsidR="00EA029E" w:rsidRPr="00AC254C" w:rsidTr="009C51A8">
        <w:trPr>
          <w:trHeight w:val="14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029E" w:rsidRPr="00AC254C" w:rsidRDefault="00EA029E" w:rsidP="009C51A8">
            <w:pPr>
              <w:snapToGrid w:val="0"/>
              <w:spacing w:after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Требования к архитектурным решениям.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современных материалов;*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архивохранилище отделяется от соседних помещений архива несгораемыми стенами и перекрытиями с пределами огнестойкости не менее двух часов;*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архивохранилища зависит от технологического оборудования, принятого для хранения архивных документов, но не менее 2,25 м до низа выступающих конструкций и, как правило, не выше 4 м;*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естественное освещение в архивохранилище допускается рассеянным светом при условии применения на окнах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светорассеивателей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автоматических регуляторов светового потока (специальных стекол), защитных фильтров, жалюзи, штор, нанесенных на стекло покрытий и т.п.;*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архивохранилища и другие помещения, где постоянно или временно хранятся архивные документы, оборудуются дверями с повышенной технической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укрепленностью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возможного взлома, оснащенными замками повышенной секретности.*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со знаком* - рекомендуемые. </w:t>
            </w:r>
          </w:p>
        </w:tc>
      </w:tr>
      <w:tr w:rsidR="00EA029E" w:rsidRPr="00AC254C" w:rsidTr="009C51A8">
        <w:trPr>
          <w:trHeight w:val="18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6.Требования к конструктивным решениям.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 предусмотреть:</w:t>
            </w:r>
          </w:p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восстановлению эксплуатационных свойств, поврежденных строительных конструкций (стен, перекрытий и других элементов), в том числе по восстановлению отделки;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ремонту строительных конструкций, подверженных разрушению вследствие нарушения эксплуатации помещений;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расчетная нагрузка для конструкций перекрытия не менее 900 кг/м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029E" w:rsidRPr="00AC254C" w:rsidTr="009C51A8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7.Основные требования к инженерному и технологическому решению и оборудованию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обследования существующих инженерных систем и приведение их в соответствие требованиям действующих нормативных документов, в т.ч. в части требований к оборудованию архивохранилищ.</w:t>
            </w:r>
          </w:p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Электроснабжение и электроосвещение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для искусственного освещения в архивохранилище применяются лампы накаливания в закрытых плафонах с гладкой наружной поверхностью. Допускается применение люминесцентных ламп с урезанным ультрафиолетовым участком спектра типа ЛБ, ЛХБ, ЛТБ. Уровень освещенности в диапазоне видимого спектра не должен превышать: на вертикальной поверхности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стеллажа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высоте 1 м от пола - 20-50 лк, на рабочих столах - 100 лк.</w:t>
            </w:r>
          </w:p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Водоснабжение и водоотведение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архивохранилище не допускается прокладка труб водоснабжения и канализации, технологические или бытовые выводы воды.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Отопление, вентиляция и кондиционирование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предусмотреть тепловые завесы;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архивохранилище должно иметь естественную или искусственную вентиляцию;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кондиционирования должны обеспечивать рециркуляцию воздуха с кратностью обмена 2-3, стабильность температурно-влажностного режима, очистку воздуха от пыли и агрессивных примесей, а также отвечать современным требованиям компактности и экономичности;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нормативный температурно-влажностный режим архивохранилища: температура 17-19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относительная влажность воздуха 50-55%;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воздухообмена.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Сети связи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соответствии с действующими нормами (в случае отсутствия или изношенности предусмотреть системы видеонаблюдения, пожарной и охранной сигнализации, оповещения людей при пожаре, телефонизации, интернета,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контроля и управления доступа, автоматизации и диспетчеризации, и т.д. по согласованию с Заказчиком).</w:t>
            </w: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Технологические решения</w:t>
            </w:r>
          </w:p>
          <w:p w:rsidR="00EA029E" w:rsidRPr="00AC254C" w:rsidRDefault="00EA029E" w:rsidP="009C51A8">
            <w:pPr>
              <w:tabs>
                <w:tab w:val="left" w:pos="459"/>
                <w:tab w:val="num" w:pos="64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разработать и согласовать с Заказчиком варианты расстановки стеллажного оборудования архивохранилищ, выполненные  на основании не менее 3 (трех) коммерческих предложений поставщиков;</w:t>
            </w:r>
          </w:p>
          <w:p w:rsidR="00EA029E" w:rsidRPr="00AC254C" w:rsidRDefault="00EA029E" w:rsidP="009C51A8">
            <w:pPr>
              <w:tabs>
                <w:tab w:val="left" w:pos="459"/>
                <w:tab w:val="num" w:pos="64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архивохранилище с естественным освещением стеллажи и шкафы открытого типа устанавливаются перпендикулярно стенам с оконными проемами;*</w:t>
            </w:r>
          </w:p>
          <w:p w:rsidR="00EA029E" w:rsidRPr="00AC254C" w:rsidRDefault="00EA029E" w:rsidP="009C51A8">
            <w:pPr>
              <w:tabs>
                <w:tab w:val="left" w:pos="459"/>
                <w:tab w:val="num" w:pos="64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допускается размещение стеллажей, шкафов и другого оборудования для хранения архивных документов вплотную к наружным стенам здания и к источникам тепла;*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стационарные стеллажи и шкафы устанавливаются в архивохранилищах с соблюдением следующих норм:*</w:t>
            </w:r>
          </w:p>
          <w:p w:rsidR="00EA029E" w:rsidRPr="00AC254C" w:rsidRDefault="00EA029E" w:rsidP="00EA02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рядами стеллажей (главный проход) - 120 см;</w:t>
            </w:r>
          </w:p>
          <w:p w:rsidR="00EA029E" w:rsidRPr="00AC254C" w:rsidRDefault="00EA029E" w:rsidP="00EA02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(проход) между стеллажами - 75 см;</w:t>
            </w:r>
          </w:p>
          <w:p w:rsidR="00EA029E" w:rsidRPr="00AC254C" w:rsidRDefault="00EA029E" w:rsidP="00EA02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наружной стеной здания и стеллажами, параллельными стене - 75 см;</w:t>
            </w:r>
          </w:p>
          <w:p w:rsidR="00EA029E" w:rsidRPr="00AC254C" w:rsidRDefault="00EA029E" w:rsidP="00EA02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стеной и торцом стеллажа или шкафа (обход) - 45 см;</w:t>
            </w:r>
          </w:p>
          <w:p w:rsidR="00EA029E" w:rsidRPr="00AC254C" w:rsidRDefault="00EA029E" w:rsidP="00EA02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полом и нижней полкой стеллажа (шкафа) - не менее 15 см, в цокольных этажах - не менее 30 см.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проектируемому оборудованию:</w:t>
            </w:r>
          </w:p>
          <w:p w:rsidR="00EA029E" w:rsidRPr="00AC254C" w:rsidRDefault="00EA029E" w:rsidP="009C51A8">
            <w:pPr>
              <w:widowControl w:val="0"/>
              <w:tabs>
                <w:tab w:val="left" w:pos="684"/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должно  быть рассчитано на размещение максимального объема документации при условии эргономичности и удобства пользования стеллажной системой с учетом требований безопасности. С целью достижения вышеперечисленных требований предполагается использование в помещениях комбинации типов стеллажей: 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передвижных стеллажей с электрическим приводом для перемещения по рельсовым направляющим, закрепленным жестко к полу и стационарных. </w:t>
            </w:r>
          </w:p>
          <w:p w:rsidR="00EA029E" w:rsidRPr="00AC254C" w:rsidRDefault="00EA029E" w:rsidP="009C51A8">
            <w:pPr>
              <w:widowControl w:val="0"/>
              <w:tabs>
                <w:tab w:val="left" w:pos="720"/>
                <w:tab w:val="left" w:pos="1026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Передвижные стеллажи </w:t>
            </w:r>
            <w:r w:rsidRPr="00AC2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электрическим приводом для перемещения по рельсовым направляющим, закрепленным жестко к полу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Тип – передвижной стеллаж с электрическим приводом для перемещения по рельсовым направляющим, закрепленным жестко к полу;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Единица хранения – папка-скоросшиватель типа «Корона» (толщина - 70 мм);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Высота мобильного стеллажа 2300-2500мм;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Длина мобильного стеллажа определяется в зависимости от длины и ширины стен помещений хранилища. Длина стеллажей выбирается с учетом наиболее эффективного и 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удобного размещения стеллажей в помещениях хранилища с обеспечением максимального объема хранения;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Боковые и внутренние стойки у мобильных стеллажей должны быть сплошными, без сварки и болтовых соединений, с перфорацией для крепления полок,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регулирования полок по высоте – не более 26 мм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•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Сечение стойки для стеллажей высотой должно быть «I»-образное. Материал для стоек -  металл, холоднокатаная сталь, покрытие – порошковое (полимерное), шагрень и муар не допускается. Толщина металла для стоек – не более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AC25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0,8 мм</w:t>
              </w:r>
            </w:smartTag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A029E" w:rsidRPr="00AC254C" w:rsidRDefault="00EA029E" w:rsidP="009C51A8">
            <w:pPr>
              <w:spacing w:after="0" w:line="240" w:lineRule="auto"/>
              <w:ind w:firstLine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должна быть цельной по всей высоте, набор высоты из нескольких стыкующихся элементов не допускается.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Габаритные размеры полки мобильных стеллажей (одна сторона): 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 длина 900-</w:t>
            </w:r>
            <w:smartTag w:uri="urn:schemas-microsoft-com:office:smarttags" w:element="metricconverter">
              <w:smartTagPr>
                <w:attr w:name="ProductID" w:val="1300 мм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1300 мм</w:t>
              </w:r>
            </w:smartTag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.,</w:t>
            </w:r>
            <w:proofErr w:type="gramEnd"/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- ширина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300 мм</w:t>
              </w:r>
            </w:smartTag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.;</w:t>
            </w:r>
            <w:proofErr w:type="gramEnd"/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Количество рабочих полок в мобильной стеллажной секции должно быть не менее 6-ти, также требуется верхняя – не рабочая полка для защиты документов от естественной пыли, увеличения жесткости конструкций, придания стеллажам эстетичного внешнего вида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.;</w:t>
            </w:r>
            <w:proofErr w:type="gramEnd"/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Межполочное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расстояние - 330-</w:t>
            </w:r>
            <w:smartTag w:uri="urn:schemas-microsoft-com:office:smarttags" w:element="metricconverter">
              <w:smartTagPr>
                <w:attr w:name="ProductID" w:val="345 мм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345 мм</w:t>
              </w:r>
            </w:smartTag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.;</w:t>
            </w:r>
            <w:proofErr w:type="gramEnd"/>
          </w:p>
          <w:p w:rsidR="00EA029E" w:rsidRPr="00AC254C" w:rsidRDefault="00EA029E" w:rsidP="009C51A8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Привод стеллажа – электрический, с зубчатым редуктором. </w:t>
            </w:r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Электродвигатель          постоянного тока.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должен передвигаться при помощи электрического привода с  зубчатым редуктором, обеспечивающим легкость перемещения. Количество одновременно передвигаемых рядов нагруженных стеллажей должно соответствовать нормам допустимой нагрузки на механизмы передвижения и обеспечивать их безотказную работу.</w:t>
            </w:r>
          </w:p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Материал стеллажа –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сталь. 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Покрытие – порошковое (полимерное).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элементы передвижного стеллажа (за исключением деталей, имеющих цинковое покрытие) окрашены полимерным износостойким порошковым покрытием. Для декоративных стоек передвижных стеллажей должен быть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7012. Для всех остальных элементов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7035,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обеспечивающий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максимальную отражающую способность покрытия деталей стеллажа и дополнительную освещенность в проходах между стеллажами.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 Все элементы стеллажей должны быть равномерно покрашены. Частичная покраска и использование пленки не допускается.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Полки должны быть цельнометаллическими и выдерживать равномерную нагрузку не менее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80 кг</w:t>
              </w:r>
            </w:smartTag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без изменения геометрических форм (прогиба, деформации). Полки должны крепиться на клипсы (не болтовое крепление). Форма полки должна исключать возможность повреждения рук пользователей и документов.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Полки должны прилегать к стойкам вплотную, без образования пустот, куда могли бы проваливаться документы.</w:t>
            </w:r>
          </w:p>
          <w:p w:rsidR="00EA029E" w:rsidRPr="00AC254C" w:rsidRDefault="00EA029E" w:rsidP="009C51A8">
            <w:pPr>
              <w:spacing w:after="0" w:line="240" w:lineRule="auto"/>
              <w:ind w:firstLine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для полок – металл, холоднокатаная сталь, покрытие – порошковое (полимерное), шагрень и муар не допускается. Толщина металла для полок – не более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AC25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0,8 мм</w:t>
              </w:r>
            </w:smartTag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Конструкции стеллажей (крепеж полок к стойкам, ребра жесткости) должны исключать возможность повреждения рук пользователей и документов.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•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конструкций стеллажей обеспечивается установкой диагональных стяжек.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Мобильные основания передвижных стеллажей должны быть цельнометаллическими, состоять в длину не более чем из 2-х частей. Мобильное основание должно иметь карданную передачу (вал) по всей длине основания, обеспечивая равномерную передачу крутящего момента от привода на все ведущие колеса до конца мобильного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основания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;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мобильного основания с учетом рельс – не более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AC25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140 мм</w:t>
              </w:r>
            </w:smartTag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Материал для мобильных баз – сталь, покрытие – оцинковка.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Стеллажи должны оборудоваться специальным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антиопрокидывающим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устройством, не увеличивающим общую высоту стеллажей;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Редукторный механизм перемещения должен быть закрыт фронтальной панелью. Фронтальная панель должна закрывать как механизм перемещения, так и лицевые стойки по всей высоте;</w:t>
            </w:r>
          </w:p>
          <w:p w:rsidR="00EA029E" w:rsidRPr="00AC254C" w:rsidRDefault="00EA029E" w:rsidP="009C51A8">
            <w:pPr>
              <w:tabs>
                <w:tab w:val="num" w:pos="720"/>
              </w:tabs>
              <w:spacing w:after="0" w:line="240" w:lineRule="auto"/>
              <w:ind w:left="6" w:firstLine="54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Рельсовые направляющие цельнокатаные из металла (оцинкованные) толщиной не менее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6 мм</w:t>
              </w:r>
            </w:smartTag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. Рельсы должны иметь выпуклую дугообразную форму. Рельс не должен быть полым или открытым во избежание попадания грязи, мусора, посторонних предметов, что могло бы привести к заклиниванию мобильных стеллажей. </w:t>
            </w:r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Высота рельсовых направляющих не менее 10 мм и не более 18 мм. 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Длина рельсовых направляющих должна обеспечивать рабочий проход между двухсторонними мобильными стеллажами не менее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750 мм</w:t>
              </w:r>
            </w:smartTag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EA029E" w:rsidRPr="00AC254C" w:rsidRDefault="00EA029E" w:rsidP="009C51A8">
            <w:pPr>
              <w:widowControl w:val="0"/>
              <w:tabs>
                <w:tab w:val="left" w:pos="720"/>
                <w:tab w:val="left" w:pos="1026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widowControl w:val="0"/>
              <w:tabs>
                <w:tab w:val="left" w:pos="720"/>
                <w:tab w:val="left" w:pos="1026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Стационарные стеллажи 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Тип: 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    двухсторонний стационарный стеллаж для установки на пол;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    односторонний стационарный стеллаж для установки на пол.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Единица хранения - папка-скоросшиватель – папка-скоросшиватель типа «Корона» (толщина - 70 мм);</w:t>
            </w:r>
          </w:p>
          <w:p w:rsidR="00EA029E" w:rsidRPr="00AC254C" w:rsidRDefault="00EA029E" w:rsidP="009C51A8">
            <w:pPr>
              <w:widowControl w:val="0"/>
              <w:tabs>
                <w:tab w:val="left" w:pos="684"/>
                <w:tab w:val="left" w:pos="969"/>
                <w:tab w:val="left" w:pos="1026"/>
                <w:tab w:val="left" w:pos="2052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•    Стационарный стеллаж состоит из стационарных секций. 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Высота стационарного стеллажа 2300-2500мм;</w:t>
            </w:r>
          </w:p>
          <w:p w:rsidR="00EA029E" w:rsidRPr="00AC254C" w:rsidRDefault="00EA029E" w:rsidP="009C51A8">
            <w:pPr>
              <w:widowControl w:val="0"/>
              <w:tabs>
                <w:tab w:val="left" w:pos="684"/>
                <w:tab w:val="num" w:pos="720"/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Боковые и внутренние стойки у стационарных стеллажей, устанавливаемых в помещениях вместе с передвижными стеллажами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электроприводом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 компьютерным управлением,  </w:t>
            </w:r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представляют собой сплошную боковую панель </w:t>
            </w:r>
            <w:proofErr w:type="spellStart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сложногнутого</w:t>
            </w:r>
            <w:proofErr w:type="spellEnd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профиля с фронтальным </w:t>
            </w:r>
            <w:proofErr w:type="spellStart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трубовидным</w:t>
            </w:r>
            <w:proofErr w:type="spellEnd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ребром, обеспечивающим необходимую жесткость и максимальные </w:t>
            </w:r>
            <w:proofErr w:type="spellStart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травмобезопасные</w:t>
            </w:r>
            <w:proofErr w:type="spellEnd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условия эксплуатации стеллажей персоналом,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регулирования полок по высоте – не более 26 мм. Материал для стоек -  металл,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холоднокатаная сталь. 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• Боковые и внутренние стойки у стационарных стеллажей, устанавливаемых в отдельных помещениях </w:t>
            </w:r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представляют собой сплошную боковую панель </w:t>
            </w:r>
            <w:proofErr w:type="spellStart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сложногнутого</w:t>
            </w:r>
            <w:proofErr w:type="spellEnd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профиля с фронтальным </w:t>
            </w:r>
            <w:proofErr w:type="spellStart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трубовидным</w:t>
            </w:r>
            <w:proofErr w:type="spellEnd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ребром, обеспечивающим необходимую жесткость и максимальные </w:t>
            </w:r>
            <w:proofErr w:type="spellStart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травмобезопасные</w:t>
            </w:r>
            <w:proofErr w:type="spellEnd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условия эксплуатации стеллажей персоналом</w:t>
            </w:r>
            <w:proofErr w:type="gramStart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  <w:proofErr w:type="gramEnd"/>
            <w:r w:rsidRPr="00AC25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 регулирования полок по высоте – не более 25 мм. Материал для стоек -  металл, холоднокатаная сталь, покрытие – порошковое (полиэфирное) глянцевое. 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Габаритные размеры полки стационарных стеллажей (одна сторона): 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eastAsia="ru-RU"/>
              </w:rPr>
              <w:t xml:space="preserve">-    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длина 750-</w:t>
            </w:r>
            <w:smartTag w:uri="urn:schemas-microsoft-com:office:smarttags" w:element="metricconverter">
              <w:smartTagPr>
                <w:attr w:name="ProductID" w:val="1300 мм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1300 мм</w:t>
              </w:r>
            </w:smartTag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.,</w:t>
            </w:r>
            <w:proofErr w:type="gramEnd"/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-    ширина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300 мм</w:t>
              </w:r>
            </w:smartTag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.;</w:t>
            </w:r>
            <w:proofErr w:type="gramEnd"/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Количество рабочих полок в стеллажной секции должно быть не менее 6-ти, также требуется верхняя – не рабочая полка для защиты документов от естественной пыли, увеличения жесткости конструкций, придания стеллажам эстетичного внешнего вида.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proofErr w:type="spell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Межполочное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расстояние – 330 - 345 мм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.;</w:t>
            </w:r>
            <w:proofErr w:type="gramEnd"/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Материал стеллажа –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сталь. 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Покрытие – порошковое (полимерное). Цветовая гамма: 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светло-серые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серые. Все элементы стеллажей равномерно покрашены. Частичная покраска и использование пленки не допускается.</w:t>
            </w:r>
          </w:p>
          <w:p w:rsidR="00EA029E" w:rsidRPr="00AC254C" w:rsidRDefault="00EA029E" w:rsidP="009C51A8">
            <w:pPr>
              <w:widowControl w:val="0"/>
              <w:tabs>
                <w:tab w:val="left" w:pos="969"/>
                <w:tab w:val="left" w:pos="1026"/>
                <w:tab w:val="left" w:pos="205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Полки стеллажей, устанавливаемых в помещениях вместе с передвижными стеллажами 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электроприводом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 компьютерным управлением, должны быть цельнометаллическими и выдерживать равномерную нагрузку не менее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80 кг</w:t>
              </w:r>
            </w:smartTag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без изменения геометрических форм (прогиба, деформации). Форма полки должна исключать возможность повреждения рук пользователей и документов. 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 xml:space="preserve">Полки стеллажей, устанавливаемых в отдельных помещениях, должны быть цельнометаллическими и выдерживать равномерную нагрузку  не менее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AC254C">
                <w:rPr>
                  <w:rFonts w:ascii="Times New Roman" w:eastAsia="Times New Roman" w:hAnsi="Times New Roman" w:cs="Times New Roman"/>
                  <w:bCs/>
                  <w:snapToGrid w:val="0"/>
                  <w:sz w:val="24"/>
                  <w:szCs w:val="24"/>
                  <w:lang w:eastAsia="ru-RU"/>
                </w:rPr>
                <w:t>80 кг</w:t>
              </w:r>
            </w:smartTag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без изменения геометрических форм (прогиба, деформации). Полки должны крепиться на клипсы (не болтовое крепление). Форма полки должна исключать возможность повреждения рук пользователей и документов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Полки должны прилегать к стойкам вплотную, без образования пустот, куда могли бы проваливаться документы.</w:t>
            </w:r>
          </w:p>
          <w:p w:rsidR="00EA029E" w:rsidRPr="00AC254C" w:rsidRDefault="00EA029E" w:rsidP="009C51A8">
            <w:pPr>
              <w:widowControl w:val="0"/>
              <w:tabs>
                <w:tab w:val="left" w:pos="1026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для полок – металл, холоднокатаная сталь, покрытие – порошковое (полиэфирное) глянцевое. </w:t>
            </w:r>
          </w:p>
          <w:p w:rsidR="00EA029E" w:rsidRPr="00AC254C" w:rsidRDefault="00EA029E" w:rsidP="009C51A8">
            <w:pPr>
              <w:widowControl w:val="0"/>
              <w:tabs>
                <w:tab w:val="num" w:pos="720"/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•</w:t>
            </w:r>
            <w:r w:rsidRPr="00AC254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ab/>
              <w:t>Конструкции стеллажей (крепеж полок к стойкам, ребра жесткости) должны исключать возможность повреждения рук пользователей и документов.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tabs>
                <w:tab w:val="left" w:pos="459"/>
                <w:tab w:val="num" w:pos="64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со знаком* - рекомендуемые.</w:t>
            </w:r>
          </w:p>
        </w:tc>
      </w:tr>
      <w:tr w:rsidR="00EA029E" w:rsidRPr="00AC254C" w:rsidTr="009C51A8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8.Основные требования к организации капитального ремонта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обосновать возможность проведения работ без отселения сотрудников ФКУ «Налог-Сервис» из занимаемых помещений.</w:t>
            </w:r>
          </w:p>
        </w:tc>
      </w:tr>
      <w:tr w:rsidR="00EA029E" w:rsidRPr="00AC254C" w:rsidTr="009C51A8">
        <w:trPr>
          <w:trHeight w:val="5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9.Перечень мероприятий по охране окружающей среды на период строительства и эксплуатации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действующими нормами. </w:t>
            </w:r>
          </w:p>
        </w:tc>
      </w:tr>
      <w:tr w:rsidR="00EA029E" w:rsidRPr="00AC254C" w:rsidTr="009C51A8">
        <w:trPr>
          <w:trHeight w:val="10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10.Требования по обеспечению противопожарной 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предусмотреть систему автоматического газового пожаротушения;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9E" w:rsidRPr="00AC254C" w:rsidTr="009C51A8">
        <w:trPr>
          <w:trHeight w:val="10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действующими нормами.</w:t>
            </w:r>
          </w:p>
        </w:tc>
      </w:tr>
      <w:tr w:rsidR="00EA029E" w:rsidRPr="00AC254C" w:rsidTr="009C51A8">
        <w:trPr>
          <w:trHeight w:val="3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и благоустройство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EA029E" w:rsidRPr="00AC254C" w:rsidTr="009C51A8">
        <w:trPr>
          <w:trHeight w:val="240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029E" w:rsidRPr="00AC254C" w:rsidRDefault="00EA029E" w:rsidP="009C51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требования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9E" w:rsidRPr="00AC254C" w:rsidRDefault="00EA029E" w:rsidP="009C51A8">
            <w:pPr>
              <w:tabs>
                <w:tab w:val="left" w:pos="459"/>
                <w:tab w:val="num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решения в части перепланировки существующих помещений, согласовываются ответственным представителем Заказчика из соответствующего территориального подразделения (филиала) и собственником зданий.</w:t>
            </w:r>
          </w:p>
          <w:p w:rsidR="00EA029E" w:rsidRPr="00AC254C" w:rsidRDefault="00EA029E" w:rsidP="009C51A8">
            <w:pPr>
              <w:tabs>
                <w:tab w:val="left" w:pos="459"/>
                <w:tab w:val="num" w:pos="6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субподрядных организаций к выполнению работ по Государственному контракту допускается при условии их согласования с Заказчиком.  </w:t>
            </w:r>
          </w:p>
          <w:p w:rsidR="00EA029E" w:rsidRPr="00AC254C" w:rsidRDefault="00EA029E" w:rsidP="009C51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сметной стоимости объекта капитального ремонта, финансируемого за счёт средств федерального бюджета, нормативам в области нормирования и ценообразования выполняют региональные центры ценообразования в сфере строительства или аккредитованные независимые организации, подтверждение статуса которых предоставляется Заказчику (данные по реестру аккредитованных организаций размещены на сайте Федеральной службы по аккредитации (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Росаккредитация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fsa.gov.ru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EA029E" w:rsidRPr="00AC254C" w:rsidRDefault="00EA029E" w:rsidP="009C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9E" w:rsidRPr="00AC254C" w:rsidTr="009C51A8">
        <w:trPr>
          <w:trHeight w:val="9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29E" w:rsidRPr="00AC254C" w:rsidRDefault="00EA029E" w:rsidP="009C51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по сметной документации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локальные сметные расчеты, составленные по территориальным сборникам нормативов базы 2001 года (ТЕР) - если территориальные нормативы региона включены в реестр сметных нормативов, подлежащих применению при определении сметной стоимости объектов капитального строительства, выполнение которых планируется осуществлять с привлечением средств федерального бюджета (Реестр  размещен на официальном сайте Министерства регионального развития Российской Федерации в сети Интернет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www.minregion.ru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(приказ Минрегионразвития России от 15.07.2009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296, письмо Минрегионразвития России от 9.07.2010 N 26686-КК/08).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регионов, территориальные единичные расценки (ТЕР) которых не вошли в Федеральный реестр, локальные сметы должны быть составлены по  сметно-</w:t>
            </w: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нормативной базе ФЕР – 2001 ГОСЭТАЛОН (выпуск 2008-2010г). </w:t>
            </w:r>
          </w:p>
          <w:p w:rsidR="00EA029E" w:rsidRPr="00AC254C" w:rsidRDefault="00EA029E" w:rsidP="009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объектные сметы в базовом уровне цен 2001 года;</w:t>
            </w:r>
          </w:p>
          <w:p w:rsidR="00EA029E" w:rsidRPr="00AC254C" w:rsidRDefault="00EA029E" w:rsidP="009C5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сводный сметный расчет в базовом уровне цен 2001 года в 2-х экземплярах с оригиналами печатей и подписанными руководителем проектной организации (после утверждения в ФНС России 1 экземпляр направляется в Управление ФНС России);</w:t>
            </w:r>
          </w:p>
          <w:p w:rsidR="00EA029E" w:rsidRPr="00AC254C" w:rsidRDefault="00EA029E" w:rsidP="009C5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C2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сводный сметный расчет  в текущем  уровне цен 4 квартала года, планируемого окончания ремонта (пересчет базового уровня в текущий выполняется на основании индексов изменения сметной стоимости строительно-монтажных работ, в том числе стоимости материалов, оплаты труда и эксплуатации машин и механизмов на 4 квартал 2012 года  в соответствии с письмом </w:t>
            </w:r>
            <w:proofErr w:type="spellStart"/>
            <w:r w:rsidRPr="00AC2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AC2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 и индексами-дефляторами Минэкономразвития России на 2013 год и плановый период</w:t>
            </w:r>
            <w:proofErr w:type="gramEnd"/>
            <w:r w:rsidRPr="00AC2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 и 2015 годов (письмо Минэкономразвития России от 27.09.2012 № 20740-АК/ДОЗ).</w:t>
            </w:r>
          </w:p>
          <w:p w:rsidR="00EA029E" w:rsidRPr="00AC254C" w:rsidRDefault="00EA029E" w:rsidP="009C51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37C" w:rsidRDefault="007B437C"/>
    <w:sectPr w:rsidR="007B437C" w:rsidSect="007B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EA0"/>
    <w:multiLevelType w:val="hybridMultilevel"/>
    <w:tmpl w:val="FB92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64B11"/>
    <w:multiLevelType w:val="multilevel"/>
    <w:tmpl w:val="41FCE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2">
    <w:nsid w:val="361F015A"/>
    <w:multiLevelType w:val="hybridMultilevel"/>
    <w:tmpl w:val="49A82D2A"/>
    <w:lvl w:ilvl="0" w:tplc="501CD72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1B0E3BF0">
      <w:start w:val="1"/>
      <w:numFmt w:val="decimal"/>
      <w:lvlText w:val="%2."/>
      <w:lvlJc w:val="left"/>
      <w:pPr>
        <w:ind w:left="1293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013" w:hanging="180"/>
      </w:pPr>
    </w:lvl>
    <w:lvl w:ilvl="3" w:tplc="0419000F">
      <w:start w:val="1"/>
      <w:numFmt w:val="decimal"/>
      <w:lvlText w:val="%4."/>
      <w:lvlJc w:val="left"/>
      <w:pPr>
        <w:ind w:left="2733" w:hanging="360"/>
      </w:pPr>
    </w:lvl>
    <w:lvl w:ilvl="4" w:tplc="04190019">
      <w:start w:val="1"/>
      <w:numFmt w:val="lowerLetter"/>
      <w:lvlText w:val="%5."/>
      <w:lvlJc w:val="left"/>
      <w:pPr>
        <w:ind w:left="3453" w:hanging="360"/>
      </w:pPr>
    </w:lvl>
    <w:lvl w:ilvl="5" w:tplc="0419001B">
      <w:start w:val="1"/>
      <w:numFmt w:val="lowerRoman"/>
      <w:lvlText w:val="%6."/>
      <w:lvlJc w:val="right"/>
      <w:pPr>
        <w:ind w:left="4173" w:hanging="180"/>
      </w:pPr>
    </w:lvl>
    <w:lvl w:ilvl="6" w:tplc="0419000F">
      <w:start w:val="1"/>
      <w:numFmt w:val="decimal"/>
      <w:lvlText w:val="%7."/>
      <w:lvlJc w:val="left"/>
      <w:pPr>
        <w:ind w:left="4893" w:hanging="360"/>
      </w:pPr>
    </w:lvl>
    <w:lvl w:ilvl="7" w:tplc="04190019">
      <w:start w:val="1"/>
      <w:numFmt w:val="lowerLetter"/>
      <w:lvlText w:val="%8."/>
      <w:lvlJc w:val="left"/>
      <w:pPr>
        <w:ind w:left="5613" w:hanging="360"/>
      </w:pPr>
    </w:lvl>
    <w:lvl w:ilvl="8" w:tplc="0419001B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46781DE8"/>
    <w:multiLevelType w:val="hybridMultilevel"/>
    <w:tmpl w:val="4206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500B5"/>
    <w:multiLevelType w:val="hybridMultilevel"/>
    <w:tmpl w:val="CA3CDA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029E"/>
    <w:rsid w:val="00640985"/>
    <w:rsid w:val="007B437C"/>
    <w:rsid w:val="00CE02DE"/>
    <w:rsid w:val="00EA0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9E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4375</Words>
  <Characters>24943</Characters>
  <Application>Microsoft Office Word</Application>
  <DocSecurity>0</DocSecurity>
  <Lines>207</Lines>
  <Paragraphs>58</Paragraphs>
  <ScaleCrop>false</ScaleCrop>
  <Company>Microsoft</Company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 А М</dc:creator>
  <cp:lastModifiedBy>Кошкин А М</cp:lastModifiedBy>
  <cp:revision>1</cp:revision>
  <dcterms:created xsi:type="dcterms:W3CDTF">2013-12-03T11:14:00Z</dcterms:created>
  <dcterms:modified xsi:type="dcterms:W3CDTF">2013-12-03T11:15:00Z</dcterms:modified>
</cp:coreProperties>
</file>