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37" w:rsidRDefault="00B92A6B" w:rsidP="00D84437">
      <w:pPr>
        <w:widowControl/>
        <w:tabs>
          <w:tab w:val="clear" w:pos="618"/>
          <w:tab w:val="clear" w:pos="9921"/>
          <w:tab w:val="left" w:pos="9639"/>
        </w:tabs>
        <w:suppressAutoHyphens w:val="0"/>
        <w:autoSpaceDE w:val="0"/>
        <w:autoSpaceDN w:val="0"/>
        <w:adjustRightInd w:val="0"/>
        <w:spacing w:line="240" w:lineRule="atLeast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Техническое задание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I. Общие данные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contextualSpacing/>
        <w:jc w:val="left"/>
        <w:rPr>
          <w:rFonts w:ascii="Times New Roman" w:eastAsia="Times New Roman" w:hAnsi="Times New Roman" w:cs="Times New Roman"/>
          <w:b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lang w:eastAsia="ru-RU" w:bidi="ar-SA"/>
        </w:rPr>
        <w:t xml:space="preserve">Количество этажей – 2 этажа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contextualSpacing/>
        <w:jc w:val="left"/>
        <w:rPr>
          <w:rFonts w:ascii="Times New Roman" w:eastAsia="Times New Roman" w:hAnsi="Times New Roman" w:cs="Times New Roman"/>
          <w:b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lang w:eastAsia="ru-RU" w:bidi="ar-SA"/>
        </w:rPr>
        <w:t>Площадь застройки (капитального ремонта) 901,3 м2;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b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lang w:eastAsia="ru-RU" w:bidi="ar-SA"/>
        </w:rPr>
        <w:t>Общая площадь здания 901,3 м2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11. Идентификационные признаки объекта, которые устанавливаются в соответствии со статьей 4 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Pr="00D84437">
          <w:rPr>
            <w:rFonts w:ascii="Times New Roman" w:eastAsia="Times New Roman" w:hAnsi="Times New Roman" w:cs="Times New Roman"/>
            <w:color w:val="000000"/>
            <w:lang w:eastAsia="ru-RU" w:bidi="ar-SA"/>
          </w:rPr>
          <w:t>2009 г</w:t>
        </w:r>
      </w:smartTag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. № 384-ФЗ "Технический регламент о безопасности зданий и сооружений", и включают в себя: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11.1. Назначение объекта: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Дом культуры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11.2.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Не относится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11.3. 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Согласно СП 14.13330.2018 «Строительство в сейсмических районах» площадка строительства находится в зоне сейсмических воздействий 7 баллов.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11.4. Принадлежность к опасным производственным объектам: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t>Не относится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11.5. Пожарная и взрывопожарная опасность объекта: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618"/>
                <w:tab w:val="clear" w:pos="9921"/>
              </w:tabs>
              <w:suppressAutoHyphens w:val="0"/>
              <w:ind w:hanging="2"/>
              <w:jc w:val="left"/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 xml:space="preserve">В соответствии с назначением объекта и 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Класс функциональной пожарной опасности –Ф2.1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Класс конструктивной пожарной опасности – С2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Степень огнестойкости – 3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left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Категории помещений определить в соответствии с требованиями СП 12.13130.2009</w:t>
            </w:r>
          </w:p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eastAsia="ru-RU" w:bidi="ar-SA"/>
              </w:rPr>
            </w:pP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(указывается категория пожарной (взрывопожарной) опасности объекта)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11.6. Наличие в объекте помещений с постоянным пребыванием людей: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В соответствии с п.15 статьи 2 Федерального закона от 30.12.2009 № 384-ФЗ «Технический регламент о безопасности зданий и сооружений» и в соответствии с п. 2.7 ГОСТ 30494-2011 - все основные помещения относятся к помещениям с постоянным пребыванием людей.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11.7. Уровень ответственности объекта (устанавливается согласно пункту 7 части 1 и части 7 статьи 4 Федерального закона от 30 декабря </w:t>
      </w:r>
      <w:smartTag w:uri="urn:schemas-microsoft-com:office:smarttags" w:element="metricconverter">
        <w:smartTagPr>
          <w:attr w:name="ProductID" w:val="2009 г"/>
        </w:smartTagPr>
        <w:r w:rsidRPr="00D84437">
          <w:rPr>
            <w:rFonts w:ascii="Times New Roman" w:eastAsia="Times New Roman" w:hAnsi="Times New Roman" w:cs="Times New Roman"/>
            <w:color w:val="000000"/>
            <w:lang w:eastAsia="ru-RU" w:bidi="ar-SA"/>
          </w:rPr>
          <w:t>2009 г</w:t>
        </w:r>
      </w:smartTag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. N 384-ФЗ "Технический регламент о безопасности зданий и сооружений":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lastRenderedPageBreak/>
              <w:t>Нормальный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(повышенный, нормальный, пониженный)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t>Отсутствуют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(указываются в случае подготовки проектной документации в отношении опасного производственного объекта)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13. Требования к качеству, конкурентоспособности, </w:t>
      </w:r>
      <w:proofErr w:type="spellStart"/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экологичности</w:t>
      </w:r>
      <w:proofErr w:type="spellEnd"/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и </w:t>
      </w:r>
      <w:proofErr w:type="spellStart"/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энергоэффективности</w:t>
      </w:r>
      <w:proofErr w:type="spellEnd"/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проектных решений: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shd w:val="clear" w:color="auto" w:fill="FFFFFF"/>
              <w:tabs>
                <w:tab w:val="clear" w:pos="618"/>
                <w:tab w:val="clear" w:pos="9921"/>
                <w:tab w:val="left" w:pos="7435"/>
                <w:tab w:val="left" w:leader="underscore" w:pos="798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8"/>
                <w:kern w:val="144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 Градостроительный кодекс Российской Федерации;</w:t>
            </w:r>
            <w:r w:rsidRPr="00D84437">
              <w:rPr>
                <w:rFonts w:ascii="Times New Roman" w:eastAsia="Calibri" w:hAnsi="Times New Roman" w:cs="Times New Roman"/>
                <w:spacing w:val="8"/>
                <w:kern w:val="144"/>
                <w:lang w:eastAsia="ru-RU" w:bidi="ar-SA"/>
              </w:rPr>
              <w:t xml:space="preserve"> </w:t>
            </w:r>
          </w:p>
          <w:p w:rsidR="00D84437" w:rsidRPr="00D84437" w:rsidRDefault="00D84437" w:rsidP="00D84437">
            <w:pPr>
              <w:shd w:val="clear" w:color="auto" w:fill="FFFFFF"/>
              <w:tabs>
                <w:tab w:val="clear" w:pos="618"/>
                <w:tab w:val="clear" w:pos="9921"/>
                <w:tab w:val="left" w:pos="7435"/>
                <w:tab w:val="left" w:leader="underscore" w:pos="798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8"/>
                <w:kern w:val="144"/>
                <w:lang w:eastAsia="ru-RU" w:bidi="ar-SA"/>
              </w:rPr>
            </w:pPr>
            <w:r w:rsidRPr="00D84437">
              <w:rPr>
                <w:rFonts w:ascii="Times New Roman" w:eastAsia="Calibri" w:hAnsi="Times New Roman" w:cs="Times New Roman"/>
                <w:spacing w:val="8"/>
                <w:kern w:val="144"/>
                <w:lang w:eastAsia="ru-RU" w:bidi="ar-SA"/>
              </w:rPr>
              <w:t xml:space="preserve">- постановление Правительства РФ от 20.05.2022 № 914 "О внесении изменений в постановление Правительства Российской Федерации от 28 мая 2021 г. № 815»; 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- Приказ Федерального агентства по техническому регулированию и метрологии от 02.04.2020  №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сооружений";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- Федеральный закон от 30.12.2009 № 384-Ф3 «Технический регламент о безопасности зданий и сооружений»;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- Приказ Федерального агентства по техническому регулированию и метрологии от 13.02.2023 № 318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"Технический регламент о требованиях пожарной безопасности"; 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- Федеральный закон от 22.07.2008 № 123-Ф3 «Технический регламент о требованиях пожарной безопасности»;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- постановление Правительства РФ от 16.02.2008 № 87 «О составе разделов проектной документации и требованиях к их содержанию»;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- ГОСТ Р 21.101-2020 «</w:t>
            </w:r>
            <w:r w:rsidRPr="00D84437">
              <w:rPr>
                <w:rFonts w:ascii="Times New Roman" w:eastAsia="Times New Roman" w:hAnsi="Times New Roman" w:cs="Times New Roman"/>
                <w:szCs w:val="20"/>
                <w:lang w:eastAsia="ru-RU" w:bidi="ar-SA"/>
              </w:rPr>
              <w:t>Система проектной документации для строительства. Основные требования к проектной и рабочей документации</w:t>
            </w: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».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</w:t>
      </w:r>
      <w:proofErr w:type="spellStart"/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энергоэффективности</w:t>
      </w:r>
      <w:proofErr w:type="spellEnd"/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(не ниже класса "С")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14. Необходимость выполнения инженерных изысканий для подготовки проектной документации: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Отсутствует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15. Предполагаемая (предельная) стоимость строительства объекта: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rPr>
          <w:jc w:val="center"/>
        </w:trPr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t>Не требуется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16. Принадлежность объекта к объектам культурного наследия (памятникам истории и культуры) народов Российской Федерации: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t>Не относится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II. Перечень основных требований к проектным решениям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rPr>
          <w:rFonts w:ascii="Times New Roman" w:eastAsia="Times New Roman" w:hAnsi="Times New Roman" w:cs="Times New Roman"/>
          <w:color w:val="FF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17. Требования к схеме планировочной организации земельного участка: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Не требуются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(указываются для объектов производственного и непроизводственного назначения)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18. Требования к проекту полосы отвода: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  <w:t>Не требуются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(указываются для линейных объектов)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500"/>
        <w:rPr>
          <w:rFonts w:ascii="Times New Roman" w:eastAsia="Times New Roman" w:hAnsi="Times New Roman" w:cs="Times New Roman"/>
          <w:lang w:eastAsia="ru-RU" w:bidi="ar-SA"/>
        </w:rPr>
      </w:pPr>
      <w:r w:rsidRPr="00D84437">
        <w:rPr>
          <w:rFonts w:ascii="Times New Roman" w:eastAsia="Times New Roman" w:hAnsi="Times New Roman" w:cs="Times New Roman"/>
          <w:lang w:eastAsia="ru-RU" w:bidi="ar-SA"/>
        </w:rPr>
        <w:t xml:space="preserve">19. </w:t>
      </w:r>
      <w:proofErr w:type="gramStart"/>
      <w:r w:rsidRPr="00D84437">
        <w:rPr>
          <w:rFonts w:ascii="Times New Roman" w:eastAsia="Times New Roman" w:hAnsi="Times New Roman" w:cs="Times New Roman"/>
          <w:lang w:eastAsia="ru-RU" w:bidi="ar-SA"/>
        </w:rPr>
        <w:t>Требования  к</w:t>
      </w:r>
      <w:proofErr w:type="gramEnd"/>
      <w:r w:rsidRPr="00D84437">
        <w:rPr>
          <w:rFonts w:ascii="Times New Roman" w:eastAsia="Times New Roman" w:hAnsi="Times New Roman" w:cs="Times New Roman"/>
          <w:lang w:eastAsia="ru-RU" w:bidi="ar-SA"/>
        </w:rPr>
        <w:t xml:space="preserve"> архитектурно-художественным решениям, включая требования к графическим материалам: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Не требуются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(указываются для объектов производственного и непроизводственного назначения)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lang w:eastAsia="ru-RU" w:bidi="ar-SA"/>
        </w:rPr>
      </w:pPr>
      <w:r w:rsidRPr="00D84437">
        <w:rPr>
          <w:rFonts w:ascii="Times New Roman" w:eastAsia="Times New Roman" w:hAnsi="Times New Roman" w:cs="Times New Roman"/>
          <w:lang w:eastAsia="ru-RU" w:bidi="ar-SA"/>
        </w:rPr>
        <w:t>20. Требования к технологическим решениям: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50BC6" w:rsidRPr="00D50BC6" w:rsidRDefault="00D50BC6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Технологические решения разработать в соответствии с требования нормативных документов Российской Федерации, Заказчика и с учетом действующих санитарно-эпидемиологических норм и требований пожарной безопасности. </w:t>
            </w:r>
          </w:p>
          <w:p w:rsidR="00D84437" w:rsidRPr="00D84437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При разработке и согласовании технологических решений, кроме нормативных требований необходимо дополнительно получить уточняющие и детальные требования от заказчика    (заказчиком передается акт выявленных дефектов)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lang w:eastAsia="ru-RU" w:bidi="ar-SA"/>
        </w:rPr>
      </w:pPr>
      <w:r w:rsidRPr="00D84437">
        <w:rPr>
          <w:rFonts w:ascii="Times New Roman" w:eastAsia="Times New Roman" w:hAnsi="Times New Roman" w:cs="Times New Roman"/>
          <w:lang w:eastAsia="ru-RU" w:bidi="ar-SA"/>
        </w:rPr>
        <w:t>21. Требования к конструктивным и объемно-планировочным решениям: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Отсутствуют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lang w:eastAsia="ru-RU" w:bidi="ar-SA"/>
        </w:rPr>
      </w:pPr>
      <w:r w:rsidRPr="00D84437">
        <w:rPr>
          <w:rFonts w:ascii="Times New Roman" w:eastAsia="Times New Roman" w:hAnsi="Times New Roman" w:cs="Times New Roman"/>
          <w:lang w:eastAsia="ru-RU" w:bidi="ar-SA"/>
        </w:rPr>
        <w:t>21.1. 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50BC6" w:rsidRPr="00D50BC6" w:rsidRDefault="00D50BC6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contextualSpacing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Все применяемые материалы, изделия и конструкции должны соответствовать требованиям механической прочности и иметь сопроводительную документацию, подтверждающую их технические характеристики, с возможностью замены на аналоги, соответствующие установленным характеристикам, так же иметь сертификаты санитарно-эпидемиологической и пожарной безопасности. </w:t>
            </w:r>
          </w:p>
          <w:p w:rsidR="00D50BC6" w:rsidRPr="00D50BC6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Выбор инженерного и технологического оборудования, материалов для стен, потолков, пола, дверей согласовать с заказчиком до передачи заказчику разработанной документации. </w:t>
            </w:r>
          </w:p>
          <w:p w:rsidR="00D84437" w:rsidRPr="00D84437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Планировочные решения, технологические решения, цветовые решения предварительно согласовать и утвердить заказчиком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21.2. Требования к строительным конструкциям: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szCs w:val="20"/>
                <w:lang w:eastAsia="ru-RU" w:bidi="ar-SA"/>
              </w:rPr>
              <w:t xml:space="preserve">Строительные конструкции должны соответствовать требованиям нормативных документов Российской Федерации. Предусмотреть применение в конструкциях и отделке износоустойчивых, экологически чистых и </w:t>
            </w:r>
            <w:proofErr w:type="spellStart"/>
            <w:r w:rsidRPr="00D84437">
              <w:rPr>
                <w:rFonts w:ascii="Times New Roman" w:eastAsia="Times New Roman" w:hAnsi="Times New Roman" w:cs="Times New Roman"/>
                <w:szCs w:val="20"/>
                <w:lang w:eastAsia="ru-RU" w:bidi="ar-SA"/>
              </w:rPr>
              <w:t>пожаробезопасных</w:t>
            </w:r>
            <w:proofErr w:type="spellEnd"/>
            <w:r w:rsidRPr="00D84437">
              <w:rPr>
                <w:rFonts w:ascii="Times New Roman" w:eastAsia="Times New Roman" w:hAnsi="Times New Roman" w:cs="Times New Roman"/>
                <w:szCs w:val="20"/>
                <w:lang w:eastAsia="ru-RU" w:bidi="ar-SA"/>
              </w:rPr>
              <w:t xml:space="preserve"> материалов.</w:t>
            </w: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21.3. Требования к фундаментам: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Предусмотреть </w:t>
            </w: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 </w:t>
            </w: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ремонт и усиление фундаментов (цоколя).</w:t>
            </w: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  <w:tab w:val="left" w:pos="9400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21.4. Требования к стенам, подвалов и цокольному этажу: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84437" w:rsidRPr="00D84437" w:rsidTr="00A92C79">
        <w:tc>
          <w:tcPr>
            <w:tcW w:w="9854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Предусмотреть</w:t>
            </w: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отбивку плитки и штукатурки от стен; выполнение штукатурки стен          цементным раствором и окраску, облицовку ГКЛ, звукопоглощающими материалами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 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21.5. Требования к наружным стенам: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shd w:val="clear" w:color="auto" w:fill="FFFFFF"/>
              <w:tabs>
                <w:tab w:val="clear" w:pos="618"/>
                <w:tab w:val="clear" w:pos="9921"/>
                <w:tab w:val="left" w:pos="7435"/>
                <w:tab w:val="left" w:leader="underscore" w:pos="7987"/>
              </w:tabs>
              <w:suppressAutoHyphens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Предусмотреть отбивку плитки и штукатурки от стен, устройство основания под штукатурку из  металлической сетки, штукатурку цементным раствором, декоративную штукатурку,   покраску стен, реставрацию плитки цоколя.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50BC6" w:rsidRDefault="00D50BC6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21.6. Требования к внутренним стенам и перегородкам: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left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Предусмотреть восстановление внутренней отделки после монтажа инженерных систем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21.7. Требования к перекрытиям: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Не требуется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21.8. Требования к колоннам, ригелям: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 xml:space="preserve">Не требуется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21.9. Требования к лестницам: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Изменениям не подлежат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21.10. Требования к полам: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 соответствии с требованиями Федерального закона "Технический регламент о требованиях пожарной безопасности" от 22.07.2008 № 123-ФЗ, СП 1.13130.2020 "Системы противопожарной защиты. Эвакуационные пути и выходы" 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jc w:val="left"/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>В отдельных помещениях необходимо принять следующие технические решения по полам: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 xml:space="preserve">Произвести разборку цементного плинтуса. Выполнить обезжиривание поверхности пола, грунтовку, укладку </w:t>
            </w:r>
            <w:proofErr w:type="spellStart"/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>керамогранитной</w:t>
            </w:r>
            <w:proofErr w:type="spellEnd"/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 xml:space="preserve"> нескользящей</w:t>
            </w:r>
            <w:r w:rsidRPr="00D84437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 w:bidi="ar-SA"/>
              </w:rPr>
              <w:t xml:space="preserve"> </w:t>
            </w:r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 xml:space="preserve">плитки; осуществить </w:t>
            </w:r>
            <w:proofErr w:type="spellStart"/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>циклевание</w:t>
            </w:r>
            <w:proofErr w:type="spellEnd"/>
            <w:r w:rsidRPr="00D84437">
              <w:rPr>
                <w:rFonts w:ascii="Times New Roman" w:eastAsia="Times New Roman" w:hAnsi="Times New Roman" w:cs="Times New Roman"/>
                <w:spacing w:val="8"/>
                <w:kern w:val="144"/>
                <w:lang w:eastAsia="ru-RU" w:bidi="ar-SA"/>
              </w:rPr>
              <w:t xml:space="preserve"> паркета с последующим покрытием лаком.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21.11. Требования к кровле: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84437" w:rsidRPr="00D84437" w:rsidTr="00A92C79">
        <w:tc>
          <w:tcPr>
            <w:tcW w:w="9854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b/>
                <w:lang w:eastAsia="ru-RU" w:bidi="ar-SA"/>
              </w:rPr>
              <w:t>Не требуется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21.12. Требования к витражам, окнам: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Предусмотреть замену стеклопакетов на окнах фасада на стеклопакеты с зеркальным         напылением.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21.13. Требования к дверям: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D50BC6" w:rsidRPr="00D50BC6">
              <w:rPr>
                <w:rFonts w:ascii="Times New Roman" w:eastAsia="Times New Roman" w:hAnsi="Times New Roman" w:cs="Times New Roman"/>
                <w:lang w:eastAsia="ru-RU" w:bidi="ar-SA"/>
              </w:rPr>
              <w:t>Размер, материалы и конструкцию дверей определить с учетом информации, отраженной в акте выявленных дефектов, с учетом требований Федерального закона от 22.07.2008                            № 123-ФЗ «Технический регламент о требованиях пожарной безопасности»,                                   СП 1.13130.2020, СП 4.13130.2013, СП 59.13330.2020, иных действующих нормативных документов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21.14. Требования к внутренней отделке: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Отделку стен выполнить по современным строительным технологиям с использованием современных материалов.</w:t>
            </w:r>
            <w:r w:rsid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D50BC6" w:rsidRP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Все применяемые для отделки материалы должны быть износостойкими и водостойкими, отвечать требованиям санитарной, пожарной безопасности. При подготовке сметной документации предусмотреть сохранение декоративных элементов                               в ремонтируемых помещениях. Цветовое решение внутренней отделки помещений предусмотреть с учетом наличия декоративных элементов и предварительно согласовать с заказчиком до сдачи разработанной документации заказчику.  </w:t>
            </w:r>
          </w:p>
        </w:tc>
      </w:tr>
    </w:tbl>
    <w:p w:rsidR="00155173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объекта)</w:t>
      </w:r>
    </w:p>
    <w:p w:rsid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21.15. Требования к наружной отделке: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Отделку стен выполнить по современным строительным технологиям с использованием современных материалов.</w:t>
            </w:r>
            <w:r w:rsid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 w:rsidR="00D50BC6" w:rsidRPr="00D50BC6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Все применяемые для отделки материалы должны быть износостойкими и водостойкими, отвечать требованиям санитарной, пожарной безопасности. При                   подготовке сметной документации предусмотреть сохранение декоративных элементов на фасаде здания. Цветовое решение наружной отделки здания предусмотреть с учетом наличия декоративных элементов и предварительно согласовать с заказчиком до сдачи разработанной документации заказчику.  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21.16. Требования к обеспечению безопасности объекта при опасных природных процессах, явлениях и техногенных воздействиях: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42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В проектной документации принять все необходимые мероприятия в соответствии со статьей 18 Федерального закона от 30.12.2009 № 384-ФЗ «Технический регламент о безопасности зданий и сооружений», других нормативных документов.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(указывается в случае, если строительство и эксплуатация объекта планируются в сложных природных условиях)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24. Требования к инженерно-техническим решениям (указываются при необходимости):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24.1. Требования к основному технологическому оборудованию: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rPr>
          <w:rFonts w:ascii="Times New Roman" w:eastAsia="Times New Roman" w:hAnsi="Times New Roman" w:cs="Times New Roman"/>
          <w:color w:val="000000"/>
          <w:szCs w:val="2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Cs w:val="20"/>
          <w:lang w:eastAsia="ru-RU" w:bidi="ar-SA"/>
        </w:rPr>
        <w:t>Проектом предусмотреть устройство системы вентиляции, отопления, пожарной сигнализации, электромонтажные работы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24.1.1. Отопление: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 капитальном ремонте системы водяного отопления предусмотреть разборку металлического трубопровода и замену их на трубопроводы из полипропиленовых труб, с демонтажем регистров, промывкой регистров, покраской и их установкой. На каждый регистр установить отсекающую арматуру. Работы выполнять с учетом требований  СП 60.13330.2020 «Отопление, вентиляция и кондиционирование воздуха»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24.1.2. Вентиляция: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left="57"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Система вентиляции - в соответствии с действующими нормативными документами, в том числе учесть требования СП 7.13130.2013 «Отопление, вентиляция и кондиционирование. Требования пожарной безопасности».</w:t>
            </w:r>
          </w:p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Устройство системы вентиляции предусматривать из сертифицированных материалов.</w:t>
            </w:r>
          </w:p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b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В системе вентиляции учесть существующие вентиляционные каналы в стенах (при их наличии), их прочистку, восстановление.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24.1.5. Электроснабжение: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84437" w:rsidRPr="00D84437" w:rsidTr="00A92C79">
        <w:tc>
          <w:tcPr>
            <w:tcW w:w="9854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Предусмотреть демонтаж потолочных светильников. Проложить в трубках в </w:t>
            </w:r>
            <w:proofErr w:type="spellStart"/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штробу</w:t>
            </w:r>
            <w:proofErr w:type="spellEnd"/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кабель силовой с медными жилами с поливинилхлоридной изоляцией и оболочкой, не распространяющей горение марки ВВГнг напряжением 0,66кВ с числом жил 3 сечением 2,5мм², 1,5мм². предусмотреть установку светильников, выключателей одноклавишных для скрытой проводки серии «Прима» (или эквивалент), розетки штепсельные с заземляющим контактом. </w:t>
            </w:r>
          </w:p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  <w:tab w:val="left" w:pos="9400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28. Требования к мероприятиям по обеспечению доступа маломобильных групп населения к объекту: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A26BD3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A26BD3">
              <w:rPr>
                <w:rFonts w:ascii="Times New Roman" w:eastAsia="Times New Roman" w:hAnsi="Times New Roman" w:cs="Times New Roman"/>
                <w:lang w:eastAsia="ru-RU" w:bidi="ar-SA"/>
              </w:rPr>
              <w:t>Обеспечить доступность ремонтируемых помещений для маломобильных групп населения согласно действующим нормам и в соответствии с технологическим заданием.</w:t>
            </w:r>
          </w:p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b/>
                <w:color w:val="000000"/>
                <w:lang w:eastAsia="ru-RU" w:bidi="ar-SA"/>
              </w:rPr>
            </w:pPr>
            <w:r w:rsidRPr="00A26BD3">
              <w:rPr>
                <w:rFonts w:ascii="Times New Roman" w:eastAsia="Times New Roman" w:hAnsi="Times New Roman" w:cs="Times New Roman"/>
                <w:spacing w:val="-2"/>
                <w:lang w:eastAsia="ru-RU" w:bidi="ar-SA"/>
              </w:rPr>
              <w:t>Принять с учётом требований СП</w:t>
            </w:r>
            <w:r w:rsidRPr="00D84437">
              <w:rPr>
                <w:rFonts w:ascii="Times New Roman" w:eastAsia="Times New Roman" w:hAnsi="Times New Roman" w:cs="Times New Roman"/>
                <w:spacing w:val="-2"/>
                <w:lang w:eastAsia="ru-RU" w:bidi="ar-SA"/>
              </w:rPr>
              <w:t xml:space="preserve"> 59.13330.2020 «Доступность зданий и сооружений для маломобильных групп населения».</w:t>
            </w:r>
          </w:p>
        </w:tc>
      </w:tr>
    </w:tbl>
    <w:p w:rsidR="00D84437" w:rsidRPr="00D84437" w:rsidRDefault="00D84437" w:rsidP="00B92A6B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500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(указываются для объектов здра</w:t>
      </w:r>
      <w:bookmarkStart w:id="0" w:name="_GoBack"/>
      <w:bookmarkEnd w:id="0"/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III. Иные требования к проектированию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jc w:val="left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Проектная документация должна соответствовать требованиям постановления Правительства РФ от 16.02.2008 № 87 «О составе разделов проектной документации и требованиях к их содержанию».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Состав проектной документации должен включать:</w:t>
            </w:r>
          </w:p>
          <w:p w:rsidR="00D84437" w:rsidRPr="00D84437" w:rsidRDefault="00D84437" w:rsidP="00D84437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Раздел «Пояснительная записка»</w:t>
            </w:r>
          </w:p>
          <w:p w:rsidR="00D84437" w:rsidRDefault="00D84437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D84437">
              <w:rPr>
                <w:rFonts w:ascii="Times New Roman" w:eastAsia="Times New Roman" w:hAnsi="Times New Roman" w:cs="Times New Roman"/>
                <w:lang w:eastAsia="ru-RU" w:bidi="ar-SA"/>
              </w:rPr>
              <w:t>Раздел «Смета на капитальный ремонт объекта капитального строительства»</w:t>
            </w:r>
            <w:r w:rsidR="008E7493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  <w:p w:rsidR="00AC6E49" w:rsidRDefault="00AC6E49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Liberation Serif" w:eastAsia="Arial" w:hAnsi="Liberation Serif" w:cs="Liberation Serif"/>
              </w:rPr>
            </w:pPr>
            <w:r>
              <w:rPr>
                <w:rFonts w:ascii="Liberation Serif" w:eastAsia="Arial" w:hAnsi="Liberation Serif" w:cs="Liberation Serif"/>
              </w:rPr>
              <w:t>Документация комплектуется по разделам.</w:t>
            </w:r>
          </w:p>
          <w:p w:rsidR="00AC6E49" w:rsidRDefault="00AC6E49" w:rsidP="00AC6E49">
            <w:pPr>
              <w:tabs>
                <w:tab w:val="clear" w:pos="618"/>
                <w:tab w:val="clear" w:pos="9921"/>
                <w:tab w:val="left" w:pos="851"/>
              </w:tabs>
              <w:spacing w:line="252" w:lineRule="auto"/>
              <w:rPr>
                <w:rFonts w:ascii="Liberation Serif" w:eastAsia="Arial" w:hAnsi="Liberation Serif" w:cs="Liberation Serif"/>
              </w:rPr>
            </w:pPr>
            <w:r>
              <w:rPr>
                <w:rFonts w:ascii="Liberation Serif" w:eastAsia="Arial" w:hAnsi="Liberation Serif" w:cs="Liberation Serif"/>
              </w:rPr>
              <w:t>По факту подготовки документации исполнитель направляет заказчику полностью идентичную по составу и оформлению в установленном порядке документацию на бумажном носителе (в сброшюрованном виде) и на электронном носителе</w:t>
            </w:r>
            <w:r>
              <w:rPr>
                <w:rFonts w:ascii="Liberation Serif" w:hAnsi="Liberation Serif" w:cs="Liberation Serif"/>
              </w:rPr>
              <w:t>, а также документацию в отсканированном виде в формате PDF или аналоге, полностью идентичную по составу и оформлению документации на бумажном носителе (один том - один файл).</w:t>
            </w:r>
          </w:p>
          <w:p w:rsidR="00AC6E49" w:rsidRDefault="00AC6E49" w:rsidP="00AC6E49">
            <w:pPr>
              <w:tabs>
                <w:tab w:val="clear" w:pos="618"/>
                <w:tab w:val="clear" w:pos="9921"/>
                <w:tab w:val="left" w:pos="851"/>
              </w:tabs>
              <w:spacing w:line="252" w:lineRule="auto"/>
              <w:rPr>
                <w:rFonts w:ascii="Liberation Serif" w:eastAsia="Arial" w:hAnsi="Liberation Serif" w:cs="Liberation Serif"/>
              </w:rPr>
            </w:pPr>
            <w:r>
              <w:rPr>
                <w:rFonts w:ascii="Liberation Serif" w:eastAsia="Arial" w:hAnsi="Liberation Serif" w:cs="Liberation Serif"/>
              </w:rPr>
              <w:t>Документация на бумажном носителе передается в сброшюрованном виде в 3-х (трех) экземплярах. Электронные документы разработанной документации должны соответствовать требованиям, установленным приказом Министерства строительства и жилищно-коммунального хозяйства Российской Федерации от 12.05.2017г. № 783/</w:t>
            </w:r>
            <w:proofErr w:type="spellStart"/>
            <w:r>
              <w:rPr>
                <w:rFonts w:ascii="Liberation Serif" w:eastAsia="Arial" w:hAnsi="Liberation Serif" w:cs="Liberation Serif"/>
              </w:rPr>
              <w:t>пр</w:t>
            </w:r>
            <w:proofErr w:type="spellEnd"/>
            <w:r>
              <w:rPr>
                <w:rFonts w:ascii="Liberation Serif" w:eastAsia="Arial" w:hAnsi="Liberation Serif" w:cs="Liberation Serif"/>
              </w:rPr>
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строительства», и предоставляться в форматах, предусмотренных настоящим приказом. </w:t>
            </w:r>
          </w:p>
          <w:p w:rsidR="00AC6E49" w:rsidRPr="00D84437" w:rsidRDefault="00AC6E49" w:rsidP="00D50BC6">
            <w:pPr>
              <w:widowControl/>
              <w:tabs>
                <w:tab w:val="clear" w:pos="618"/>
                <w:tab w:val="clear" w:pos="9921"/>
              </w:tabs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 xml:space="preserve">(указываются в соответствии с постановлением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D84437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 w:bidi="ar-SA"/>
          </w:rPr>
          <w:t>2008 г</w:t>
        </w:r>
      </w:smartTag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. N 87 "О составе разделов проектной документации и требованиях к их содержанию" с учетом функционального назначения объекта)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39. Требования к подготовке сметной документации: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070AAA" w:rsidRDefault="00070AAA" w:rsidP="00070AAA">
            <w:pPr>
              <w:ind w:firstLine="567"/>
              <w:contextualSpacing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Сметную документацию разработать в соответствии с </w:t>
            </w:r>
            <w:r>
              <w:rPr>
                <w:rFonts w:ascii="Liberation Serif" w:eastAsiaTheme="majorEastAsia" w:hAnsi="Liberation Serif" w:cs="Liberation Serif"/>
              </w:rPr>
              <w:t xml:space="preserve">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утв. </w:t>
            </w:r>
            <w:r>
              <w:rPr>
                <w:rFonts w:ascii="Liberation Serif" w:hAnsi="Liberation Serif" w:cs="Liberation Serif"/>
              </w:rPr>
              <w:t xml:space="preserve">приказом </w:t>
            </w:r>
            <w:r>
              <w:rPr>
                <w:rFonts w:ascii="Liberation Serif" w:eastAsiaTheme="majorEastAsia" w:hAnsi="Liberation Serif" w:cs="Liberation Serif"/>
              </w:rPr>
              <w:t>Министерства строительства и жилищно-коммунального хозяйства Российской Федерации от 04.08.2020 № 421/пр.</w:t>
            </w:r>
          </w:p>
          <w:p w:rsidR="00070AAA" w:rsidRDefault="00070AAA" w:rsidP="00070AAA">
            <w:pPr>
              <w:pStyle w:val="af3"/>
              <w:ind w:left="0" w:firstLine="567"/>
              <w:textAlignment w:val="baseline"/>
              <w:rPr>
                <w:rFonts w:ascii="Liberation Serif" w:eastAsiaTheme="majorEastAsia" w:hAnsi="Liberation Serif" w:cs="Liberation Serif"/>
              </w:rPr>
            </w:pPr>
            <w:r>
              <w:rPr>
                <w:rFonts w:ascii="Liberation Serif" w:eastAsiaTheme="majorEastAsia" w:hAnsi="Liberation Serif" w:cs="Liberation Serif"/>
              </w:rPr>
              <w:t xml:space="preserve">Сметная стоимость капитального ремонта определяется в уровне цен, сложившихся ко времени составления сметной документации (текущий уровень цен), а также ресурсным методом. </w:t>
            </w:r>
          </w:p>
          <w:p w:rsidR="00D84437" w:rsidRPr="00D84437" w:rsidRDefault="00070AAA" w:rsidP="00070AAA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pacing w:val="-2"/>
                <w:lang w:eastAsia="ru-RU" w:bidi="ar-S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</w:t>
            </w:r>
            <w:r w:rsidRPr="0001143C">
              <w:rPr>
                <w:rFonts w:ascii="Times New Roman" w:hAnsi="Times New Roman" w:cs="Times New Roman"/>
                <w:shd w:val="clear" w:color="auto" w:fill="FFFFFF"/>
              </w:rPr>
              <w:t>Сметная документация на капитальный ремонт составляется с применением утвержденных сметных нормативов, сведения о которых включены в федеральный реестр сметных нормативов.</w:t>
            </w:r>
          </w:p>
          <w:p w:rsidR="00D84437" w:rsidRPr="00D84437" w:rsidRDefault="00D84437" w:rsidP="00070AAA">
            <w:pPr>
              <w:tabs>
                <w:tab w:val="clear" w:pos="618"/>
                <w:tab w:val="clear" w:pos="9921"/>
                <w:tab w:val="left" w:pos="851"/>
              </w:tabs>
              <w:spacing w:line="252" w:lineRule="auto"/>
              <w:rPr>
                <w:rFonts w:ascii="Times New Roman" w:eastAsia="Times New Roman" w:hAnsi="Times New Roman" w:cs="Times New Roman"/>
                <w:spacing w:val="-2"/>
                <w:lang w:eastAsia="ru-RU" w:bidi="ar-SA"/>
              </w:rPr>
            </w:pP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  <w:t>(указываются требования к подготовке сметной документации, в том числе метод определения сметной стоимости строительства)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41. Требования о применении при разработке проектной документации документов в области стандартизации: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84437" w:rsidRPr="00D84437" w:rsidRDefault="00D84437" w:rsidP="00D84437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 w:firstLine="369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D84437">
              <w:rPr>
                <w:rFonts w:ascii="Times New Roman" w:eastAsia="Times New Roman" w:hAnsi="Times New Roman" w:cs="Times New Roman"/>
                <w:spacing w:val="-2"/>
                <w:lang w:eastAsia="ru-RU" w:bidi="ar-SA"/>
              </w:rPr>
              <w:t>Работы выполнить в соответствии с требованиями национальных стандартов и сводов правил (частей таких стандартов и сводов правил), в результате применения, которых на обязательной основе обеспечивается соблюдение требований Федерального закона от 30.12.2009 № 384-ФЗ «Технический регламент о безопасности зданий и сооружений», а также требованиями региональных нормативов.</w:t>
            </w:r>
          </w:p>
        </w:tc>
      </w:tr>
    </w:tbl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45. Прочие дополнительные требования и указания, конкретизирующие объем проектных работ: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84437" w:rsidRPr="00D84437" w:rsidTr="00A92C79">
        <w:tc>
          <w:tcPr>
            <w:tcW w:w="9855" w:type="dxa"/>
            <w:shd w:val="clear" w:color="auto" w:fill="auto"/>
          </w:tcPr>
          <w:p w:rsidR="00D50BC6" w:rsidRPr="00D50BC6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1. Заказчиком передаются исполнителю после заключения контракта:</w:t>
            </w:r>
          </w:p>
          <w:p w:rsidR="00D50BC6" w:rsidRPr="00D50BC6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- Технический паспорт объекта капитального строительства (копия);</w:t>
            </w:r>
          </w:p>
          <w:p w:rsidR="00D50BC6" w:rsidRPr="00D50BC6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jc w:val="lef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-Акт выявленных дефектов (копия).</w:t>
            </w:r>
          </w:p>
          <w:p w:rsidR="00D50BC6" w:rsidRDefault="00D50BC6" w:rsidP="00D50BC6">
            <w:pPr>
              <w:tabs>
                <w:tab w:val="clear" w:pos="618"/>
                <w:tab w:val="clear" w:pos="9921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D50BC6">
              <w:rPr>
                <w:rFonts w:ascii="Times New Roman" w:eastAsia="Times New Roman" w:hAnsi="Times New Roman" w:cs="Times New Roman"/>
                <w:lang w:eastAsia="ru-RU" w:bidi="ar-SA"/>
              </w:rPr>
              <w:t>2. Исполнитель несет ответственность за недостатки, обнаруженные в сметной документации, в том числе недостатки, обнаруженные впоследствии при проведении проверки достоверности определения сметной стоимости, а также выявленные в ходе  выполнения работ по капитальному ремонту объекта, в отношении которого разрабатывается сметная документация, предусмотренная настоящим электронным аукционом.</w:t>
            </w:r>
          </w:p>
          <w:p w:rsidR="00D84437" w:rsidRPr="00070AAA" w:rsidRDefault="00070AAA" w:rsidP="00070AAA">
            <w:pPr>
              <w:tabs>
                <w:tab w:val="clear" w:pos="618"/>
                <w:tab w:val="left" w:pos="1080"/>
              </w:tabs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ajorEastAsia" w:hAnsi="Liberation Serif" w:cs="Liberation Serif"/>
              </w:rPr>
              <w:t xml:space="preserve">3. Качество и объем документации должны </w:t>
            </w:r>
            <w:r>
              <w:rPr>
                <w:rFonts w:ascii="Liberation Serif" w:hAnsi="Liberation Serif" w:cs="Liberation Serif"/>
              </w:rPr>
              <w:t xml:space="preserve">соответствовать требованиям нормативных документов и быть достаточными для проведения государственной экспертизы в части проверки достоверности определения сметной стоимости (в соответствии с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изысканий») </w:t>
            </w:r>
            <w:r>
              <w:rPr>
                <w:rFonts w:ascii="Liberation Serif" w:eastAsiaTheme="majorEastAsia" w:hAnsi="Liberation Serif" w:cs="Liberation Serif"/>
              </w:rPr>
              <w:t>и производства работ.</w:t>
            </w:r>
          </w:p>
        </w:tc>
      </w:tr>
    </w:tbl>
    <w:p w:rsidR="00D84437" w:rsidRPr="00D84437" w:rsidRDefault="00D84437" w:rsidP="00D84437">
      <w:pPr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right="57"/>
        <w:jc w:val="left"/>
        <w:rPr>
          <w:rFonts w:ascii="Times New Roman" w:eastAsia="Times New Roman" w:hAnsi="Times New Roman" w:cs="Times New Roman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ind w:firstLine="600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46. К заданию на проектирование прилагаются:</w:t>
      </w:r>
    </w:p>
    <w:p w:rsidR="00070AAA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46.1. Документ, подтверждающий полномочия лица, утверждающего задание на проектирование.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__________________________________________________________________________</w:t>
      </w:r>
    </w:p>
    <w:p w:rsidR="00BB78D2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(</w:t>
      </w:r>
      <w:r w:rsidRPr="00D84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ar-SA"/>
        </w:rPr>
        <w:t xml:space="preserve">должность уполномоченного лица, осуществляющего подготовку задания на проектирование, подпись, 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ar-SA"/>
        </w:rPr>
        <w:t>расшифровка подписи</w:t>
      </w: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)</w:t>
      </w: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D84437" w:rsidRPr="00D84437" w:rsidRDefault="00D84437" w:rsidP="00D84437">
      <w:pPr>
        <w:widowControl/>
        <w:tabs>
          <w:tab w:val="clear" w:pos="618"/>
          <w:tab w:val="clear" w:pos="9921"/>
        </w:tabs>
        <w:suppressAutoHyphens w:val="0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>«</w:t>
      </w:r>
      <w:r w:rsidR="00BB78D2">
        <w:rPr>
          <w:rFonts w:ascii="Times New Roman" w:eastAsia="Times New Roman" w:hAnsi="Times New Roman" w:cs="Times New Roman"/>
          <w:color w:val="000000"/>
          <w:lang w:eastAsia="ru-RU" w:bidi="ar-SA"/>
        </w:rPr>
        <w:t>15» июля 2</w:t>
      </w:r>
      <w:r w:rsidRPr="00D8443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024г. </w:t>
      </w:r>
    </w:p>
    <w:p w:rsidR="00313E4B" w:rsidRDefault="00313E4B">
      <w:pPr>
        <w:spacing w:line="252" w:lineRule="auto"/>
        <w:rPr>
          <w:rFonts w:ascii="Liberation Serif" w:hAnsi="Liberation Serif" w:cs="Liberation Serif"/>
        </w:rPr>
      </w:pPr>
    </w:p>
    <w:sectPr w:rsidR="00313E4B" w:rsidSect="006B5E97">
      <w:pgSz w:w="11906" w:h="16798"/>
      <w:pgMar w:top="709" w:right="567" w:bottom="567" w:left="131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Arial"/>
    <w:charset w:val="01"/>
    <w:family w:val="swiss"/>
    <w:pitch w:val="variable"/>
    <w:sig w:usb0="E00002EF" w:usb1="4000205B" w:usb2="00000028" w:usb3="00000000" w:csb0="0000019F" w:csb1="00000000"/>
  </w:font>
  <w:font w:name="Iosevka Term SS03">
    <w:altName w:val="Times New Roman"/>
    <w:charset w:val="01"/>
    <w:family w:val="roman"/>
    <w:pitch w:val="variable"/>
  </w:font>
  <w:font w:name="Liberation Mono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28E"/>
    <w:multiLevelType w:val="multilevel"/>
    <w:tmpl w:val="5E5ED7A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Liberation Serif" w:hAnsi="Liberation Serif" w:cs="Liberation Serif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PT Astra Serif" w:hAnsi="PT Astra Serif"/>
        <w:color w:val="0000F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PT Astra Serif" w:hAnsi="PT Astra Serif"/>
        <w:color w:val="0000F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PT Astra Serif" w:hAnsi="PT Astra Serif"/>
        <w:color w:val="0000FF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PT Astra Serif" w:hAnsi="PT Astra Serif"/>
        <w:color w:val="0000FF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PT Astra Serif" w:hAnsi="PT Astra Serif"/>
        <w:color w:val="0000FF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PT Astra Serif" w:hAnsi="PT Astra Serif"/>
        <w:color w:val="0000FF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PT Astra Serif" w:hAnsi="PT Astra Serif"/>
        <w:color w:val="0000FF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PT Astra Serif" w:hAnsi="PT Astra Serif"/>
        <w:color w:val="0000FF"/>
        <w:sz w:val="28"/>
        <w:szCs w:val="28"/>
      </w:rPr>
    </w:lvl>
  </w:abstractNum>
  <w:abstractNum w:abstractNumId="1" w15:restartNumberingAfterBreak="0">
    <w:nsid w:val="04125A95"/>
    <w:multiLevelType w:val="multilevel"/>
    <w:tmpl w:val="79808F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5377"/>
    <w:multiLevelType w:val="multilevel"/>
    <w:tmpl w:val="6A78D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825424"/>
    <w:multiLevelType w:val="multilevel"/>
    <w:tmpl w:val="74008B3C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E725EB"/>
    <w:multiLevelType w:val="multilevel"/>
    <w:tmpl w:val="D49AD55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2F33C2"/>
    <w:multiLevelType w:val="hybridMultilevel"/>
    <w:tmpl w:val="BBE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CE"/>
    <w:rsid w:val="00007825"/>
    <w:rsid w:val="0001143C"/>
    <w:rsid w:val="00044B9C"/>
    <w:rsid w:val="00070AAA"/>
    <w:rsid w:val="000844F5"/>
    <w:rsid w:val="000979E6"/>
    <w:rsid w:val="000A4B40"/>
    <w:rsid w:val="00155173"/>
    <w:rsid w:val="001B2E8A"/>
    <w:rsid w:val="00200908"/>
    <w:rsid w:val="00221B5E"/>
    <w:rsid w:val="002A34CB"/>
    <w:rsid w:val="002C3C50"/>
    <w:rsid w:val="00313E4B"/>
    <w:rsid w:val="00322543"/>
    <w:rsid w:val="00364E50"/>
    <w:rsid w:val="003915F3"/>
    <w:rsid w:val="003B5ED3"/>
    <w:rsid w:val="003D7F83"/>
    <w:rsid w:val="004026F3"/>
    <w:rsid w:val="00441815"/>
    <w:rsid w:val="00441963"/>
    <w:rsid w:val="00450677"/>
    <w:rsid w:val="004C461C"/>
    <w:rsid w:val="004C53A2"/>
    <w:rsid w:val="004C7E87"/>
    <w:rsid w:val="004E24BF"/>
    <w:rsid w:val="004E5A60"/>
    <w:rsid w:val="004E6CE7"/>
    <w:rsid w:val="0058171C"/>
    <w:rsid w:val="00585A9C"/>
    <w:rsid w:val="005B25A6"/>
    <w:rsid w:val="005B602D"/>
    <w:rsid w:val="00603737"/>
    <w:rsid w:val="006224CE"/>
    <w:rsid w:val="00622635"/>
    <w:rsid w:val="00690FD1"/>
    <w:rsid w:val="006A43CD"/>
    <w:rsid w:val="006B1D6D"/>
    <w:rsid w:val="006B5E97"/>
    <w:rsid w:val="006D539D"/>
    <w:rsid w:val="00712984"/>
    <w:rsid w:val="00726D33"/>
    <w:rsid w:val="00740A84"/>
    <w:rsid w:val="00763F01"/>
    <w:rsid w:val="00771587"/>
    <w:rsid w:val="00772FC6"/>
    <w:rsid w:val="007A4E1B"/>
    <w:rsid w:val="007C3EA2"/>
    <w:rsid w:val="007D7BC6"/>
    <w:rsid w:val="007F1343"/>
    <w:rsid w:val="008518C3"/>
    <w:rsid w:val="00890F90"/>
    <w:rsid w:val="008B1806"/>
    <w:rsid w:val="008C0EDA"/>
    <w:rsid w:val="008E7493"/>
    <w:rsid w:val="009023E7"/>
    <w:rsid w:val="009123EE"/>
    <w:rsid w:val="00914984"/>
    <w:rsid w:val="00977C97"/>
    <w:rsid w:val="009907BA"/>
    <w:rsid w:val="009A4923"/>
    <w:rsid w:val="009B42C1"/>
    <w:rsid w:val="009E6D06"/>
    <w:rsid w:val="00A26BD3"/>
    <w:rsid w:val="00A95CE9"/>
    <w:rsid w:val="00AA7331"/>
    <w:rsid w:val="00AC6E49"/>
    <w:rsid w:val="00AE023A"/>
    <w:rsid w:val="00AE5A9C"/>
    <w:rsid w:val="00B00D57"/>
    <w:rsid w:val="00B4406F"/>
    <w:rsid w:val="00B84EBA"/>
    <w:rsid w:val="00B92A6B"/>
    <w:rsid w:val="00BB78D2"/>
    <w:rsid w:val="00BE519C"/>
    <w:rsid w:val="00BE551A"/>
    <w:rsid w:val="00C0707F"/>
    <w:rsid w:val="00C53879"/>
    <w:rsid w:val="00C63DB3"/>
    <w:rsid w:val="00CC0EF0"/>
    <w:rsid w:val="00CE3658"/>
    <w:rsid w:val="00D02229"/>
    <w:rsid w:val="00D025EF"/>
    <w:rsid w:val="00D50BC6"/>
    <w:rsid w:val="00D50DAA"/>
    <w:rsid w:val="00D544C9"/>
    <w:rsid w:val="00D84437"/>
    <w:rsid w:val="00DA1E0F"/>
    <w:rsid w:val="00DB4256"/>
    <w:rsid w:val="00DB7285"/>
    <w:rsid w:val="00DD00A8"/>
    <w:rsid w:val="00E248E0"/>
    <w:rsid w:val="00E63731"/>
    <w:rsid w:val="00E8021F"/>
    <w:rsid w:val="00E805A3"/>
    <w:rsid w:val="00F44E48"/>
    <w:rsid w:val="00F70FFE"/>
    <w:rsid w:val="00F971A8"/>
    <w:rsid w:val="00FB44E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6839C0-E951-48F8-A430-09289768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WenQuanYi Micro Hei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618"/>
        <w:tab w:val="left" w:pos="9921"/>
      </w:tabs>
      <w:jc w:val="both"/>
    </w:pPr>
    <w:rPr>
      <w:rFonts w:ascii="Times New Roman CYR" w:eastAsia="Symbol" w:hAnsi="Times New Roman CYR" w:cs="Wingdings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80"/>
      <w:u w:val="single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Гипертекстовая ссылка"/>
    <w:qFormat/>
    <w:rPr>
      <w:b w:val="0"/>
      <w:color w:val="106BBE"/>
    </w:rPr>
  </w:style>
  <w:style w:type="character" w:customStyle="1" w:styleId="a9">
    <w:name w:val="Цветовое выделение"/>
    <w:qFormat/>
    <w:rPr>
      <w:b/>
      <w:color w:val="26282F"/>
    </w:rPr>
  </w:style>
  <w:style w:type="character" w:customStyle="1" w:styleId="aa">
    <w:name w:val="Цветовое выделение для Текст"/>
    <w:qFormat/>
  </w:style>
  <w:style w:type="character" w:customStyle="1" w:styleId="ab">
    <w:name w:val="Символ нумерации"/>
    <w:qFormat/>
    <w:rPr>
      <w:rFonts w:ascii="PT Astra Serif" w:hAnsi="PT Astra Serif"/>
      <w:color w:val="0000FF"/>
      <w:sz w:val="28"/>
      <w:szCs w:val="28"/>
    </w:rPr>
  </w:style>
  <w:style w:type="character" w:customStyle="1" w:styleId="ac">
    <w:name w:val="Основной текст_"/>
    <w:basedOn w:val="a0"/>
    <w:link w:val="30"/>
    <w:qFormat/>
    <w:rsid w:val="00B569F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0D71D8"/>
    <w:rPr>
      <w:rFonts w:ascii="Segoe UI" w:eastAsia="Symbol" w:hAnsi="Segoe UI" w:cs="Mangal"/>
      <w:sz w:val="18"/>
      <w:szCs w:val="16"/>
    </w:rPr>
  </w:style>
  <w:style w:type="paragraph" w:customStyle="1" w:styleId="10">
    <w:name w:val="Заголовок1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10"/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3">
    <w:name w:val="List Paragraph"/>
    <w:basedOn w:val="a"/>
    <w:uiPriority w:val="34"/>
    <w:qFormat/>
    <w:pPr>
      <w:ind w:left="680"/>
      <w:contextualSpacing/>
    </w:pPr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uiPriority w:val="99"/>
    <w:unhideWhenUsed/>
    <w:qFormat/>
  </w:style>
  <w:style w:type="paragraph" w:customStyle="1" w:styleId="afb">
    <w:name w:val="Таблицы (моноширинный)"/>
    <w:basedOn w:val="a"/>
    <w:qFormat/>
    <w:rPr>
      <w:rFonts w:ascii="Courier New" w:hAnsi="Courier New"/>
    </w:rPr>
  </w:style>
  <w:style w:type="paragraph" w:customStyle="1" w:styleId="afc">
    <w:name w:val="Прижатый влево"/>
    <w:basedOn w:val="a"/>
    <w:qFormat/>
    <w:pPr>
      <w:jc w:val="left"/>
    </w:pPr>
  </w:style>
  <w:style w:type="paragraph" w:customStyle="1" w:styleId="afd">
    <w:name w:val="Нормальный (таблица)"/>
    <w:basedOn w:val="a"/>
    <w:qFormat/>
  </w:style>
  <w:style w:type="paragraph" w:styleId="afe">
    <w:name w:val="footnote text"/>
    <w:basedOn w:val="a"/>
    <w:pPr>
      <w:ind w:firstLine="720"/>
    </w:pPr>
    <w:rPr>
      <w:sz w:val="20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pPr>
      <w:jc w:val="center"/>
    </w:pPr>
    <w:rPr>
      <w:rFonts w:ascii="Times New Roman" w:hAnsi="Times New Roman"/>
      <w:sz w:val="20"/>
    </w:rPr>
  </w:style>
  <w:style w:type="paragraph" w:styleId="aff1">
    <w:name w:val="footer"/>
    <w:basedOn w:val="a"/>
    <w:pPr>
      <w:jc w:val="left"/>
    </w:pPr>
    <w:rPr>
      <w:rFonts w:ascii="Times New Roman" w:hAnsi="Times New Roman"/>
      <w:sz w:val="20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30">
    <w:name w:val="Основной текст3"/>
    <w:basedOn w:val="a"/>
    <w:link w:val="ac"/>
    <w:qFormat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aff4">
    <w:name w:val="Текст в заданном формате"/>
    <w:basedOn w:val="a"/>
    <w:qFormat/>
    <w:rPr>
      <w:rFonts w:ascii="Iosevka Term SS03" w:eastAsia="Liberation Mono" w:hAnsi="Iosevka Term SS03" w:cs="Iosevka Term SS03"/>
      <w:sz w:val="20"/>
      <w:szCs w:val="20"/>
    </w:rPr>
  </w:style>
  <w:style w:type="paragraph" w:styleId="ae">
    <w:name w:val="Balloon Text"/>
    <w:basedOn w:val="a"/>
    <w:link w:val="ad"/>
    <w:uiPriority w:val="99"/>
    <w:semiHidden/>
    <w:unhideWhenUsed/>
    <w:qFormat/>
    <w:rsid w:val="000D71D8"/>
    <w:rPr>
      <w:rFonts w:ascii="Segoe UI" w:hAnsi="Segoe UI" w:cs="Mangal"/>
      <w:sz w:val="18"/>
      <w:szCs w:val="16"/>
    </w:rPr>
  </w:style>
  <w:style w:type="numbering" w:customStyle="1" w:styleId="123">
    <w:name w:val="Нумерованный 123"/>
    <w:qFormat/>
  </w:style>
  <w:style w:type="table" w:styleId="aff5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6">
    <w:name w:val="Plain Text"/>
    <w:basedOn w:val="a"/>
    <w:link w:val="aff7"/>
    <w:uiPriority w:val="99"/>
    <w:unhideWhenUsed/>
    <w:rsid w:val="00D544C9"/>
    <w:rPr>
      <w:rFonts w:ascii="Consolas" w:hAnsi="Consolas" w:cs="Mangal"/>
      <w:sz w:val="21"/>
      <w:szCs w:val="19"/>
    </w:rPr>
  </w:style>
  <w:style w:type="character" w:customStyle="1" w:styleId="aff7">
    <w:name w:val="Текст Знак"/>
    <w:basedOn w:val="a0"/>
    <w:link w:val="aff6"/>
    <w:uiPriority w:val="99"/>
    <w:rsid w:val="00D544C9"/>
    <w:rPr>
      <w:rFonts w:ascii="Consolas" w:eastAsia="Symbol" w:hAnsi="Consolas" w:cs="Mangal"/>
      <w:sz w:val="21"/>
      <w:szCs w:val="19"/>
    </w:rPr>
  </w:style>
  <w:style w:type="paragraph" w:styleId="HTML">
    <w:name w:val="HTML Preformatted"/>
    <w:basedOn w:val="a"/>
    <w:link w:val="HTML0"/>
    <w:uiPriority w:val="99"/>
    <w:unhideWhenUsed/>
    <w:rsid w:val="00364E50"/>
    <w:rPr>
      <w:rFonts w:ascii="Consolas" w:hAnsi="Consolas" w:cs="Mangal"/>
      <w:sz w:val="20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364E50"/>
    <w:rPr>
      <w:rFonts w:ascii="Consolas" w:eastAsia="Symbol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00ED08D-3E2B-442B-A1B3-DE2A3B86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Михаил</cp:lastModifiedBy>
  <cp:revision>19</cp:revision>
  <cp:lastPrinted>2023-07-13T05:19:00Z</cp:lastPrinted>
  <dcterms:created xsi:type="dcterms:W3CDTF">2024-09-03T13:48:00Z</dcterms:created>
  <dcterms:modified xsi:type="dcterms:W3CDTF">2024-10-09T07:06:00Z</dcterms:modified>
  <dc:language>ru-RU</dc:language>
</cp:coreProperties>
</file>