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jc w:val="right"/>
        <w:tblLayout w:type="fixed"/>
        <w:tblLook w:val="04A0" w:firstRow="1" w:lastRow="0" w:firstColumn="1" w:lastColumn="0" w:noHBand="0" w:noVBand="1"/>
      </w:tblPr>
      <w:tblGrid>
        <w:gridCol w:w="9571"/>
      </w:tblGrid>
      <w:tr w:rsidR="00E0329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03295" w:rsidRDefault="00A85C56" w:rsidP="00A95784">
            <w:pPr>
              <w:tabs>
                <w:tab w:val="left" w:pos="177"/>
                <w:tab w:val="left" w:pos="4287"/>
              </w:tabs>
              <w:ind w:left="3540" w:right="-20"/>
              <w:jc w:val="right"/>
              <w:rPr>
                <w:rFonts w:hint="default"/>
              </w:rPr>
            </w:pPr>
            <w:bookmarkStart w:id="0" w:name="OLE_LINK1"/>
            <w:r>
              <w:rPr>
                <w:rFonts w:hint="default"/>
              </w:rPr>
              <w:t xml:space="preserve">     </w:t>
            </w:r>
            <w:r w:rsidR="00A95784">
              <w:rPr>
                <w:rFonts w:hint="default"/>
              </w:rPr>
              <w:t xml:space="preserve">                     УТВЕРЖДАЮ</w:t>
            </w:r>
            <w:r>
              <w:rPr>
                <w:rFonts w:hint="default"/>
              </w:rPr>
              <w:t xml:space="preserve"> </w:t>
            </w:r>
          </w:p>
          <w:p w:rsidR="00E03295" w:rsidRDefault="00A85C56" w:rsidP="00A95784">
            <w:pPr>
              <w:tabs>
                <w:tab w:val="left" w:pos="177"/>
                <w:tab w:val="left" w:pos="4287"/>
              </w:tabs>
              <w:ind w:left="3540" w:right="-2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      Директор «ИПК </w:t>
            </w:r>
            <w:proofErr w:type="spellStart"/>
            <w:r>
              <w:rPr>
                <w:rFonts w:hint="default"/>
              </w:rPr>
              <w:t>г.Советска</w:t>
            </w:r>
            <w:proofErr w:type="spellEnd"/>
            <w:r>
              <w:rPr>
                <w:rFonts w:hint="default"/>
              </w:rPr>
              <w:t>»</w:t>
            </w:r>
          </w:p>
          <w:p w:rsidR="00E03295" w:rsidRDefault="00A85C56" w:rsidP="00A95784">
            <w:pPr>
              <w:tabs>
                <w:tab w:val="left" w:pos="177"/>
                <w:tab w:val="left" w:pos="4287"/>
              </w:tabs>
              <w:ind w:left="2124" w:right="-2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______________</w:t>
            </w:r>
            <w:proofErr w:type="spellStart"/>
            <w:r>
              <w:rPr>
                <w:rFonts w:hint="default"/>
              </w:rPr>
              <w:t>Е.Н.Галкина</w:t>
            </w:r>
            <w:proofErr w:type="spellEnd"/>
          </w:p>
          <w:bookmarkEnd w:id="0"/>
          <w:p w:rsidR="00E03295" w:rsidRDefault="00E03295">
            <w:pPr>
              <w:tabs>
                <w:tab w:val="left" w:pos="0"/>
              </w:tabs>
              <w:ind w:right="-20"/>
              <w:jc w:val="center"/>
              <w:rPr>
                <w:rFonts w:hint="default"/>
              </w:rPr>
            </w:pPr>
          </w:p>
        </w:tc>
      </w:tr>
    </w:tbl>
    <w:p w:rsidR="00E03295" w:rsidRDefault="00A85C56">
      <w:pPr>
        <w:wordWrap w:val="0"/>
        <w:adjustRightInd w:val="0"/>
        <w:jc w:val="right"/>
        <w:rPr>
          <w:rFonts w:hint="default"/>
          <w:sz w:val="16"/>
          <w:szCs w:val="16"/>
        </w:rPr>
      </w:pPr>
      <w:r>
        <w:rPr>
          <w:rFonts w:hint="default"/>
          <w:sz w:val="16"/>
          <w:szCs w:val="16"/>
        </w:rPr>
        <w:t xml:space="preserve">                                      </w:t>
      </w:r>
    </w:p>
    <w:p w:rsidR="00E03295" w:rsidRDefault="00E03295">
      <w:pPr>
        <w:adjustRightInd w:val="0"/>
        <w:jc w:val="both"/>
        <w:rPr>
          <w:rFonts w:hint="default"/>
        </w:rPr>
      </w:pPr>
    </w:p>
    <w:p w:rsidR="00E03295" w:rsidRPr="00A95784" w:rsidRDefault="00A85C56" w:rsidP="00A95784">
      <w:pPr>
        <w:pStyle w:val="a4"/>
        <w:jc w:val="center"/>
        <w:rPr>
          <w:rFonts w:ascii="Times New Roman" w:hAnsi="Times New Roman" w:hint="default"/>
          <w:b/>
          <w:bCs/>
          <w:sz w:val="28"/>
          <w:szCs w:val="28"/>
        </w:rPr>
      </w:pPr>
      <w:r>
        <w:rPr>
          <w:rFonts w:ascii="Times New Roman" w:hAnsi="Times New Roman" w:hint="default"/>
          <w:b/>
          <w:bCs/>
          <w:sz w:val="28"/>
          <w:szCs w:val="28"/>
        </w:rPr>
        <w:t xml:space="preserve">Описание объекта закупки </w:t>
      </w:r>
    </w:p>
    <w:tbl>
      <w:tblPr>
        <w:tblW w:w="863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3"/>
      </w:tblGrid>
      <w:tr w:rsidR="00E03295">
        <w:trPr>
          <w:trHeight w:val="284"/>
          <w:jc w:val="center"/>
        </w:trPr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95784">
            <w:pPr>
              <w:adjustRightInd w:val="0"/>
              <w:jc w:val="center"/>
              <w:rPr>
                <w:rFonts w:hint="default"/>
                <w:b/>
                <w:sz w:val="28"/>
                <w:szCs w:val="28"/>
              </w:rPr>
            </w:pPr>
            <w:bookmarkStart w:id="1" w:name="_GoBack"/>
            <w:r w:rsidRPr="00A95784">
              <w:rPr>
                <w:rFonts w:hint="default"/>
                <w:b/>
                <w:bCs/>
                <w:sz w:val="28"/>
                <w:szCs w:val="28"/>
                <w:lang w:eastAsia="en-US"/>
              </w:rPr>
              <w:t xml:space="preserve">Оказание услуг по разработке проектно-сметной документации с получением положительного заключения государственной экспертизы: ''Оказание услуг по разработке проектно-сметной документации на капитальный ремонт спортивного комплекса КОГПОБУ ''ИПК </w:t>
            </w:r>
            <w:proofErr w:type="spellStart"/>
            <w:r w:rsidRPr="00A95784">
              <w:rPr>
                <w:rFonts w:hint="default"/>
                <w:b/>
                <w:bCs/>
                <w:sz w:val="28"/>
                <w:szCs w:val="28"/>
                <w:lang w:eastAsia="en-US"/>
              </w:rPr>
              <w:t>г.Советска</w:t>
            </w:r>
            <w:proofErr w:type="spellEnd"/>
            <w:r w:rsidRPr="00A95784">
              <w:rPr>
                <w:rFonts w:hint="default"/>
                <w:b/>
                <w:bCs/>
                <w:sz w:val="28"/>
                <w:szCs w:val="28"/>
                <w:lang w:eastAsia="en-US"/>
              </w:rPr>
              <w:t xml:space="preserve">'', расположенный по адресу : </w:t>
            </w:r>
            <w:proofErr w:type="spellStart"/>
            <w:r w:rsidRPr="00A95784">
              <w:rPr>
                <w:rFonts w:hint="default"/>
                <w:b/>
                <w:bCs/>
                <w:sz w:val="28"/>
                <w:szCs w:val="28"/>
                <w:lang w:eastAsia="en-US"/>
              </w:rPr>
              <w:t>г.Советск</w:t>
            </w:r>
            <w:proofErr w:type="spellEnd"/>
            <w:r w:rsidRPr="00A95784">
              <w:rPr>
                <w:rFonts w:hint="default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95784">
              <w:rPr>
                <w:rFonts w:hint="default"/>
                <w:b/>
                <w:bCs/>
                <w:sz w:val="28"/>
                <w:szCs w:val="28"/>
                <w:lang w:eastAsia="en-US"/>
              </w:rPr>
              <w:t>ул.Крупской</w:t>
            </w:r>
            <w:proofErr w:type="spellEnd"/>
            <w:r w:rsidRPr="00A95784">
              <w:rPr>
                <w:rFonts w:hint="default"/>
                <w:b/>
                <w:bCs/>
                <w:sz w:val="28"/>
                <w:szCs w:val="28"/>
                <w:lang w:eastAsia="en-US"/>
              </w:rPr>
              <w:t>, д.26''</w:t>
            </w:r>
            <w:bookmarkEnd w:id="1"/>
          </w:p>
        </w:tc>
      </w:tr>
      <w:tr w:rsidR="00E03295">
        <w:trPr>
          <w:jc w:val="center"/>
        </w:trPr>
        <w:tc>
          <w:tcPr>
            <w:tcW w:w="8633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(наименование и адрес (местоположение) объекта капитального строительства (далее — объект))</w:t>
            </w:r>
          </w:p>
        </w:tc>
      </w:tr>
    </w:tbl>
    <w:p w:rsidR="00E03295" w:rsidRDefault="00E03295">
      <w:pPr>
        <w:rPr>
          <w:rFonts w:hint="default"/>
        </w:rPr>
      </w:pPr>
    </w:p>
    <w:p w:rsidR="00E03295" w:rsidRDefault="00E03295">
      <w:pPr>
        <w:rPr>
          <w:rFonts w:hint="default"/>
        </w:rPr>
      </w:pPr>
    </w:p>
    <w:p w:rsidR="00E03295" w:rsidRDefault="00A85C56">
      <w:pPr>
        <w:jc w:val="center"/>
        <w:rPr>
          <w:rFonts w:hint="default"/>
          <w:b/>
        </w:rPr>
      </w:pPr>
      <w:bookmarkStart w:id="2" w:name="sub_1100"/>
      <w:r>
        <w:rPr>
          <w:rFonts w:hint="default"/>
          <w:b/>
        </w:rPr>
        <w:t>I. Общие данные</w:t>
      </w:r>
    </w:p>
    <w:bookmarkEnd w:id="2"/>
    <w:p w:rsidR="00E03295" w:rsidRDefault="00E03295">
      <w:pPr>
        <w:rPr>
          <w:rFonts w:hint="default"/>
        </w:rPr>
      </w:pPr>
    </w:p>
    <w:p w:rsidR="00E03295" w:rsidRDefault="00A85C56">
      <w:pPr>
        <w:ind w:firstLine="567"/>
        <w:rPr>
          <w:rFonts w:hint="default"/>
        </w:rPr>
      </w:pPr>
      <w:bookmarkStart w:id="3" w:name="sub_1001"/>
      <w:r>
        <w:rPr>
          <w:rFonts w:hint="default"/>
        </w:rPr>
        <w:t>1. Основание для проектирования</w:t>
      </w:r>
      <w:r>
        <w:rPr>
          <w:rFonts w:hint="default"/>
        </w:rPr>
        <w:t xml:space="preserve"> объекта: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3"/>
          <w:p w:rsidR="00E03295" w:rsidRDefault="00A85C56">
            <w:pPr>
              <w:adjustRightInd w:val="0"/>
              <w:jc w:val="center"/>
              <w:rPr>
                <w:rFonts w:hint="default"/>
                <w:highlight w:val="yellow"/>
              </w:rPr>
            </w:pPr>
            <w:r>
              <w:rPr>
                <w:rFonts w:hint="default"/>
              </w:rPr>
              <w:t>Решение собственника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  <w:highlight w:val="yellow"/>
              </w:rPr>
            </w:pPr>
            <w:r>
              <w:rPr>
                <w:rFonts w:hint="default"/>
                <w:sz w:val="14"/>
                <w:szCs w:val="14"/>
              </w:rPr>
              <w:t>(указывается наименование и пункт государственной, муниципальной программы, решение собственника)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4" w:name="sub_1002"/>
      <w:r>
        <w:rPr>
          <w:rFonts w:hint="default"/>
        </w:rPr>
        <w:t>2. Застройщик (технический заказчик):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4"/>
          <w:p w:rsidR="00E03295" w:rsidRDefault="00A85C56">
            <w:pPr>
              <w:spacing w:before="1"/>
              <w:ind w:left="622" w:right="158"/>
              <w:rPr>
                <w:rFonts w:hint="default"/>
              </w:rPr>
            </w:pPr>
            <w:r>
              <w:rPr>
                <w:rFonts w:hint="default"/>
                <w:b/>
                <w:sz w:val="28"/>
                <w:szCs w:val="28"/>
              </w:rPr>
              <w:t xml:space="preserve">  </w:t>
            </w:r>
            <w:r>
              <w:rPr>
                <w:rFonts w:hint="default"/>
                <w:spacing w:val="-8"/>
              </w:rPr>
              <w:t>Кировское областное г</w:t>
            </w:r>
            <w:r>
              <w:rPr>
                <w:rFonts w:hint="default"/>
              </w:rPr>
              <w:t>осударственное</w:t>
            </w:r>
            <w:r>
              <w:rPr>
                <w:rFonts w:hint="default"/>
                <w:spacing w:val="-8"/>
              </w:rPr>
              <w:t xml:space="preserve"> профессиональное образовательное</w:t>
            </w:r>
            <w:r>
              <w:rPr>
                <w:rFonts w:hint="default"/>
              </w:rPr>
              <w:t xml:space="preserve"> бюджетное</w:t>
            </w:r>
            <w:r>
              <w:rPr>
                <w:rFonts w:hint="default"/>
                <w:spacing w:val="-8"/>
              </w:rPr>
              <w:t xml:space="preserve">          </w:t>
            </w:r>
            <w:proofErr w:type="gramStart"/>
            <w:r>
              <w:rPr>
                <w:rFonts w:hint="default"/>
              </w:rPr>
              <w:t>учреждение</w:t>
            </w:r>
            <w:r>
              <w:rPr>
                <w:rFonts w:hint="default"/>
                <w:spacing w:val="-8"/>
              </w:rPr>
              <w:t xml:space="preserve"> </w:t>
            </w:r>
            <w:r>
              <w:rPr>
                <w:rFonts w:hint="default"/>
              </w:rPr>
              <w:t xml:space="preserve"> «</w:t>
            </w:r>
            <w:proofErr w:type="gramEnd"/>
            <w:r>
              <w:rPr>
                <w:rFonts w:hint="default"/>
              </w:rPr>
              <w:t>Индустриально-педагогический колледж г. Советска»;</w:t>
            </w:r>
          </w:p>
          <w:p w:rsidR="00E03295" w:rsidRDefault="00A85C56">
            <w:pPr>
              <w:spacing w:before="1"/>
              <w:ind w:left="622" w:right="158"/>
              <w:rPr>
                <w:rFonts w:hint="default"/>
              </w:rPr>
            </w:pPr>
            <w:r>
              <w:rPr>
                <w:rFonts w:hint="default"/>
              </w:rPr>
              <w:t xml:space="preserve">   </w:t>
            </w:r>
            <w:proofErr w:type="gramStart"/>
            <w:r>
              <w:rPr>
                <w:rFonts w:hint="default"/>
              </w:rPr>
              <w:t>613340,Кировская</w:t>
            </w:r>
            <w:proofErr w:type="gramEnd"/>
            <w:r>
              <w:rPr>
                <w:rFonts w:hint="default"/>
              </w:rPr>
              <w:t xml:space="preserve"> область, г. Советск, ул. Крупской, д. 26;</w:t>
            </w:r>
          </w:p>
          <w:p w:rsidR="00E03295" w:rsidRDefault="00A85C56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              </w:t>
            </w:r>
            <w:proofErr w:type="gramStart"/>
            <w:r>
              <w:rPr>
                <w:rFonts w:hint="default"/>
              </w:rPr>
              <w:t>ИНН  4330005903</w:t>
            </w:r>
            <w:proofErr w:type="gramEnd"/>
            <w:r>
              <w:rPr>
                <w:rFonts w:hint="default"/>
              </w:rPr>
              <w:t xml:space="preserve">      ОГРН    1074330000018</w:t>
            </w:r>
          </w:p>
          <w:p w:rsidR="00E03295" w:rsidRDefault="00E03295">
            <w:pPr>
              <w:adjustRightInd w:val="0"/>
              <w:jc w:val="center"/>
              <w:rPr>
                <w:rFonts w:hint="default"/>
              </w:rPr>
            </w:pP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(указываются наименование, почтовый адрес, основной государст</w:t>
            </w:r>
            <w:r>
              <w:rPr>
                <w:rFonts w:hint="default"/>
                <w:sz w:val="14"/>
                <w:szCs w:val="14"/>
              </w:rPr>
              <w:t>венный регистрационный номер и идентификационный номер налогоплательщика)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5" w:name="sub_1003"/>
      <w:r>
        <w:rPr>
          <w:rFonts w:hint="default"/>
        </w:rPr>
        <w:t>3. Инвестор (при наличии):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5"/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6" w:name="sub_1004"/>
      <w:r>
        <w:rPr>
          <w:rFonts w:hint="default"/>
        </w:rPr>
        <w:t xml:space="preserve">4. Проектная </w:t>
      </w:r>
      <w:r>
        <w:rPr>
          <w:rFonts w:hint="default"/>
        </w:rPr>
        <w:t>организация: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6"/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 xml:space="preserve">Определяется по результатам конкурсных процедур 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7" w:name="sub_1005"/>
      <w:r>
        <w:rPr>
          <w:rFonts w:hint="default"/>
        </w:rPr>
        <w:t>5. Вид работ: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7"/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>капитальный ремонт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(строительство, реконст</w:t>
            </w:r>
            <w:r>
              <w:rPr>
                <w:rFonts w:hint="default"/>
                <w:sz w:val="14"/>
                <w:szCs w:val="14"/>
              </w:rPr>
              <w:t>рукция, капитальный ремонт (далее — строительство))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8" w:name="sub_1006"/>
      <w:r>
        <w:rPr>
          <w:rFonts w:hint="default"/>
        </w:rPr>
        <w:t>6. Источник финансирования строительства объекта: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8"/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>областные средства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 xml:space="preserve">(указывается наименование источников финансирования, в том числе федеральный бюджет, региональный бюджет, местный бюджет, </w:t>
            </w:r>
            <w:r>
              <w:rPr>
                <w:rFonts w:hint="default"/>
                <w:sz w:val="14"/>
                <w:szCs w:val="14"/>
              </w:rPr>
              <w:t>внебюджетные средства)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bookmarkStart w:id="9" w:name="sub_1007"/>
      <w:r>
        <w:rPr>
          <w:rFonts w:hint="default"/>
        </w:rPr>
        <w:t xml:space="preserve">7. Технические условия на подключение (присоединение) объекта к </w:t>
      </w:r>
      <w:bookmarkEnd w:id="9"/>
      <w:r>
        <w:rPr>
          <w:rFonts w:hint="default"/>
        </w:rPr>
        <w:t>сетям инженерно-технического обеспечения (при наличии):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10" w:name="sub_1008"/>
      <w:r>
        <w:rPr>
          <w:rFonts w:hint="default"/>
        </w:rPr>
        <w:t>8. Требования к выделению этапов строительства объекта: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10"/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>без выделения этапов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(указываются сведения о необход</w:t>
            </w:r>
            <w:r>
              <w:rPr>
                <w:rFonts w:hint="default"/>
                <w:sz w:val="14"/>
                <w:szCs w:val="14"/>
              </w:rPr>
              <w:t>имости выделения этапов строительства)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11" w:name="sub_1009"/>
      <w:r>
        <w:rPr>
          <w:rFonts w:hint="default"/>
        </w:rPr>
        <w:t>9. Срок строительства объекта: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bookmarkEnd w:id="11"/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>Согласно разделу 6 проектной документации «ПОС»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bookmarkStart w:id="12" w:name="sub_1010"/>
      <w:r>
        <w:rPr>
          <w:rFonts w:hint="default"/>
        </w:rPr>
        <w:t xml:space="preserve">10. Требования к основным технико-экономическим показателям объекта </w:t>
      </w:r>
      <w:bookmarkEnd w:id="12"/>
      <w:r>
        <w:rPr>
          <w:rFonts w:hint="default"/>
        </w:rPr>
        <w:t xml:space="preserve">(площадь, объем, протяженность, количество этажей, производственная </w:t>
      </w:r>
      <w:r>
        <w:rPr>
          <w:rFonts w:hint="default"/>
        </w:rPr>
        <w:t>мощность, пропускная способность, грузооборот, интенсивность движения и другие показатели):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 xml:space="preserve">Общая площадь спортивного комплекса 1451,3 м2.                                                                                                    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bookmarkStart w:id="13" w:name="sub_1011"/>
      <w:r>
        <w:rPr>
          <w:rFonts w:hint="default"/>
        </w:rPr>
        <w:t>11. Идентификаци</w:t>
      </w:r>
      <w:r>
        <w:rPr>
          <w:rFonts w:hint="default"/>
        </w:rPr>
        <w:t xml:space="preserve">онные признаки объекта устанавливаются в </w:t>
      </w:r>
      <w:bookmarkEnd w:id="13"/>
      <w:r>
        <w:rPr>
          <w:rFonts w:hint="default"/>
        </w:rPr>
        <w:t xml:space="preserve">соответствии со статьей 4 Федерального закона от 30 декабря 2009 г. № 384-ФЗ «Технический регламент о безопасности зданий и сооружений» (Собрание законодательства Российской Федерации, 2010, № 1, ст. 5; 2013, № 27, </w:t>
      </w:r>
      <w:r>
        <w:rPr>
          <w:rFonts w:hint="default"/>
        </w:rPr>
        <w:t>ст. 3477) и включают в себя:</w:t>
      </w:r>
    </w:p>
    <w:p w:rsidR="00E03295" w:rsidRDefault="00A85C56">
      <w:pPr>
        <w:ind w:firstLine="567"/>
        <w:rPr>
          <w:rFonts w:hint="default"/>
        </w:rPr>
      </w:pPr>
      <w:bookmarkStart w:id="14" w:name="sub_111"/>
      <w:r>
        <w:rPr>
          <w:rFonts w:hint="default"/>
        </w:rPr>
        <w:t>11.1. Назначение: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bookmarkStart w:id="15" w:name="sub_112"/>
            <w:bookmarkEnd w:id="14"/>
            <w:r>
              <w:rPr>
                <w:rFonts w:hint="default"/>
                <w:b/>
              </w:rPr>
              <w:lastRenderedPageBreak/>
              <w:t xml:space="preserve">Спортивный комплекс - спортивное. </w:t>
            </w:r>
          </w:p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>По классификатор ОКС - Объекты среднего профессионального образования - 26.2.2.2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r>
        <w:rPr>
          <w:rFonts w:hint="default"/>
        </w:rPr>
        <w:t>11.2. Принадлежность к объектам транспортной инфраструктуры и к</w:t>
      </w:r>
      <w:bookmarkEnd w:id="15"/>
      <w:r>
        <w:rPr>
          <w:rFonts w:hint="default"/>
        </w:rPr>
        <w:t xml:space="preserve"> другим объектам, функционально-технологические особенности которых влияют на их безопасность: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bookmarkStart w:id="16" w:name="sub_113"/>
            <w:r>
              <w:rPr>
                <w:rFonts w:hint="default"/>
              </w:rPr>
              <w:t>-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r>
        <w:rPr>
          <w:rFonts w:hint="default"/>
        </w:rPr>
        <w:t xml:space="preserve">11.3. Возможность возникновения опасных природных процессов и </w:t>
      </w:r>
      <w:bookmarkEnd w:id="16"/>
      <w:r>
        <w:rPr>
          <w:rFonts w:hint="default"/>
        </w:rPr>
        <w:t>явлений и техногенных воздействий на территории, на которой будет осуществляться строительство о</w:t>
      </w:r>
      <w:r>
        <w:rPr>
          <w:rFonts w:hint="default"/>
        </w:rPr>
        <w:t>бъекта: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bookmarkStart w:id="17" w:name="sub_114"/>
            <w:r>
              <w:rPr>
                <w:rFonts w:hint="default"/>
              </w:rPr>
              <w:t>-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11.4. Принадлежность к опасным производственным объектам: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17"/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(при принадлежности объекта к опасным производственным объектам также указываются категория и класс опасности объекта)</w:t>
            </w:r>
          </w:p>
        </w:tc>
      </w:tr>
    </w:tbl>
    <w:p w:rsidR="00E03295" w:rsidRDefault="00E03295">
      <w:pPr>
        <w:ind w:firstLine="567"/>
        <w:rPr>
          <w:rFonts w:hint="default"/>
        </w:rPr>
      </w:pPr>
      <w:bookmarkStart w:id="18" w:name="sub_115"/>
    </w:p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11.5. Пожарная и взрывопожарная опасность: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18"/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 xml:space="preserve">устанавливаются </w:t>
            </w:r>
            <w:r>
              <w:rPr>
                <w:rFonts w:hint="default"/>
                <w:b/>
              </w:rPr>
              <w:t>проектом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(указывается категория пожарной (взрывопожарной) опасности объекта)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19" w:name="sub_116"/>
      <w:r>
        <w:rPr>
          <w:rFonts w:hint="default"/>
        </w:rPr>
        <w:t>11.6. Наличие помещений с постоянным пребыванием людей: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bookmarkStart w:id="20" w:name="sub_117"/>
            <w:bookmarkEnd w:id="19"/>
            <w:r>
              <w:rPr>
                <w:rFonts w:hint="default"/>
                <w:b/>
              </w:rPr>
              <w:t>есть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r>
        <w:rPr>
          <w:rFonts w:hint="default"/>
        </w:rPr>
        <w:t xml:space="preserve">11.7. Уровень ответственности (устанавливаются согласно пункту 7 </w:t>
      </w:r>
      <w:bookmarkEnd w:id="20"/>
      <w:r>
        <w:rPr>
          <w:rFonts w:hint="default"/>
        </w:rPr>
        <w:t xml:space="preserve">части 1 и части 7 статьи 4 Федерального закона от </w:t>
      </w:r>
      <w:r>
        <w:rPr>
          <w:rFonts w:hint="default"/>
        </w:rPr>
        <w:t>30 декабря 2009 г. № 384-ФЗ «Технический регламент о безопасности зданий и сооружений»: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  <w:lang w:val="en-US"/>
              </w:rPr>
              <w:t>II</w:t>
            </w:r>
            <w:r>
              <w:rPr>
                <w:rFonts w:hint="default"/>
                <w:b/>
              </w:rPr>
              <w:t>, нормальный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(повышенный, нормальный, пониженный)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bookmarkStart w:id="21" w:name="sub_1012"/>
      <w:r>
        <w:rPr>
          <w:rFonts w:hint="default"/>
        </w:rPr>
        <w:t xml:space="preserve">12. Требования о необходимости соответствия проектной документации </w:t>
      </w:r>
      <w:bookmarkEnd w:id="21"/>
      <w:r>
        <w:rPr>
          <w:rFonts w:hint="default"/>
        </w:rPr>
        <w:t xml:space="preserve">обоснованию безопасности опасного </w:t>
      </w:r>
      <w:r>
        <w:rPr>
          <w:rFonts w:hint="default"/>
        </w:rPr>
        <w:t>производственного объекта: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(указываются в случае подготовки проектной документации в отношении опасного производственного объекта)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bookmarkStart w:id="22" w:name="sub_1013"/>
      <w:r>
        <w:rPr>
          <w:rFonts w:hint="default"/>
        </w:rPr>
        <w:t xml:space="preserve">13. Требования к качеству, конкурентоспособности, </w:t>
      </w:r>
      <w:proofErr w:type="spellStart"/>
      <w:r>
        <w:rPr>
          <w:rFonts w:hint="default"/>
        </w:rPr>
        <w:t>экологичности</w:t>
      </w:r>
      <w:proofErr w:type="spellEnd"/>
      <w:r>
        <w:rPr>
          <w:rFonts w:hint="default"/>
        </w:rPr>
        <w:t xml:space="preserve"> и </w:t>
      </w:r>
      <w:bookmarkEnd w:id="22"/>
      <w:proofErr w:type="spellStart"/>
      <w:r>
        <w:rPr>
          <w:rFonts w:hint="default"/>
        </w:rPr>
        <w:t>энергоэффективности</w:t>
      </w:r>
      <w:proofErr w:type="spellEnd"/>
      <w:r>
        <w:rPr>
          <w:rFonts w:hint="default"/>
        </w:rPr>
        <w:t xml:space="preserve"> проектных решений: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pStyle w:val="a4"/>
              <w:snapToGrid w:val="0"/>
              <w:spacing w:after="0" w:line="240" w:lineRule="auto"/>
              <w:ind w:left="0" w:right="-96" w:firstLine="709"/>
              <w:jc w:val="both"/>
              <w:rPr>
                <w:rFonts w:ascii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hAnsi="Times New Roman" w:hint="default"/>
                <w:b/>
                <w:sz w:val="24"/>
                <w:szCs w:val="24"/>
              </w:rPr>
              <w:t>Выполнить рабочу</w:t>
            </w:r>
            <w:r>
              <w:rPr>
                <w:rFonts w:ascii="Times New Roman" w:hAnsi="Times New Roman" w:hint="default"/>
                <w:b/>
                <w:sz w:val="24"/>
                <w:szCs w:val="24"/>
              </w:rPr>
              <w:t>ю документацию в составе разделов:</w:t>
            </w:r>
          </w:p>
          <w:tbl>
            <w:tblPr>
              <w:tblW w:w="96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8"/>
            </w:tblGrid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>Генеральный план</w:t>
                  </w:r>
                </w:p>
              </w:tc>
            </w:tr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>Архитектурно-строительные решения</w:t>
                  </w:r>
                </w:p>
              </w:tc>
            </w:tr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>Архитектурные решения</w:t>
                  </w:r>
                </w:p>
              </w:tc>
            </w:tr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>Интерьеры</w:t>
                  </w:r>
                </w:p>
              </w:tc>
            </w:tr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>Конструкции железобетонные</w:t>
                  </w:r>
                </w:p>
              </w:tc>
            </w:tr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>Конструкции металлические</w:t>
                  </w:r>
                </w:p>
              </w:tc>
            </w:tr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 xml:space="preserve">Конструкции металлические </w:t>
                  </w:r>
                  <w:proofErr w:type="spellStart"/>
                  <w:r>
                    <w:rPr>
                      <w:rFonts w:eastAsia="Times New Roman" w:hint="default"/>
                      <w:b/>
                    </w:rPr>
                    <w:t>деталировочные</w:t>
                  </w:r>
                  <w:proofErr w:type="spellEnd"/>
                </w:p>
              </w:tc>
            </w:tr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>Конструкции деревянные</w:t>
                  </w:r>
                </w:p>
              </w:tc>
            </w:tr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 xml:space="preserve">Конструкции </w:t>
                  </w:r>
                  <w:r>
                    <w:rPr>
                      <w:rFonts w:eastAsia="Times New Roman" w:hint="default"/>
                      <w:b/>
                    </w:rPr>
                    <w:t xml:space="preserve">деревянные </w:t>
                  </w:r>
                  <w:proofErr w:type="spellStart"/>
                  <w:r>
                    <w:rPr>
                      <w:rFonts w:eastAsia="Times New Roman" w:hint="default"/>
                      <w:b/>
                    </w:rPr>
                    <w:t>деталировочные</w:t>
                  </w:r>
                  <w:proofErr w:type="spellEnd"/>
                </w:p>
              </w:tc>
            </w:tr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>Антикоррозионная защита конструкций зданий, сооружений</w:t>
                  </w:r>
                </w:p>
              </w:tc>
            </w:tr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>Электроснабжение</w:t>
                  </w:r>
                </w:p>
              </w:tc>
            </w:tr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>Наружное электроосвещение</w:t>
                  </w:r>
                </w:p>
              </w:tc>
            </w:tr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>Силовое электрооборудование</w:t>
                  </w:r>
                </w:p>
              </w:tc>
            </w:tr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>Электрическое освещение (внутреннее)</w:t>
                  </w:r>
                </w:p>
              </w:tc>
            </w:tr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 xml:space="preserve">Силовое электрооборудование и электрическое освещение </w:t>
                  </w:r>
                  <w:r>
                    <w:rPr>
                      <w:rFonts w:eastAsia="Times New Roman" w:hint="default"/>
                      <w:b/>
                    </w:rPr>
                    <w:t>(внутреннее)</w:t>
                  </w:r>
                </w:p>
              </w:tc>
            </w:tr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>Наружные сети водоснабжения и канализации</w:t>
                  </w:r>
                </w:p>
              </w:tc>
            </w:tr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>Внутренние системы водоснабжения и канализации</w:t>
                  </w:r>
                </w:p>
              </w:tc>
            </w:tr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>Пожаротушение</w:t>
                  </w:r>
                </w:p>
              </w:tc>
            </w:tr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>Отопление, вентиляция и кондиционирование</w:t>
                  </w:r>
                </w:p>
              </w:tc>
            </w:tr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>Сети связи</w:t>
                  </w:r>
                </w:p>
              </w:tc>
            </w:tr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>Радиосвязь, радиовещание и телевидение</w:t>
                  </w:r>
                </w:p>
              </w:tc>
            </w:tr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>Пожарная сигнализация</w:t>
                  </w:r>
                </w:p>
              </w:tc>
            </w:tr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 xml:space="preserve">Охранная и </w:t>
                  </w:r>
                  <w:r>
                    <w:rPr>
                      <w:rFonts w:eastAsia="Times New Roman" w:hint="default"/>
                      <w:b/>
                    </w:rPr>
                    <w:t>охранно-пожарная сигнализация</w:t>
                  </w:r>
                </w:p>
              </w:tc>
            </w:tr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>Технологические решения</w:t>
                  </w:r>
                </w:p>
              </w:tc>
            </w:tr>
            <w:tr w:rsidR="00E03295">
              <w:tc>
                <w:tcPr>
                  <w:tcW w:w="962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:rsidR="00E03295" w:rsidRDefault="00A85C56">
                  <w:pPr>
                    <w:textAlignment w:val="baseline"/>
                    <w:rPr>
                      <w:rFonts w:eastAsia="Times New Roman" w:hint="default"/>
                      <w:b/>
                    </w:rPr>
                  </w:pPr>
                  <w:r>
                    <w:rPr>
                      <w:rFonts w:eastAsia="Times New Roman" w:hint="default"/>
                      <w:b/>
                    </w:rPr>
                    <w:t>Автоматизация</w:t>
                  </w:r>
                </w:p>
              </w:tc>
            </w:tr>
          </w:tbl>
          <w:p w:rsidR="00E03295" w:rsidRDefault="00A85C56">
            <w:pPr>
              <w:pStyle w:val="a4"/>
              <w:snapToGrid w:val="0"/>
              <w:spacing w:after="0" w:line="240" w:lineRule="auto"/>
              <w:ind w:left="0" w:right="-96" w:firstLine="709"/>
              <w:jc w:val="both"/>
              <w:rPr>
                <w:rFonts w:ascii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hAnsi="Times New Roman" w:hint="default"/>
                <w:b/>
                <w:sz w:val="24"/>
                <w:szCs w:val="24"/>
              </w:rPr>
              <w:t xml:space="preserve">Перечень разделов рабочей документации, передаваемых Заказчику, определяется на основании акта осмотра зданий, подлежащих капитальному ремонту. </w:t>
            </w:r>
          </w:p>
          <w:p w:rsidR="00E03295" w:rsidRDefault="00A85C56">
            <w:pPr>
              <w:pStyle w:val="a4"/>
              <w:snapToGrid w:val="0"/>
              <w:spacing w:after="0" w:line="240" w:lineRule="auto"/>
              <w:ind w:left="0" w:right="-96" w:firstLine="709"/>
              <w:jc w:val="both"/>
              <w:rPr>
                <w:rFonts w:ascii="Times New Roman" w:hint="default"/>
                <w:b/>
                <w:sz w:val="24"/>
                <w:szCs w:val="24"/>
              </w:rPr>
            </w:pPr>
            <w:r>
              <w:rPr>
                <w:rFonts w:ascii="Times New Roman" w:hAnsi="Times New Roman" w:hint="default"/>
                <w:b/>
                <w:sz w:val="24"/>
                <w:szCs w:val="24"/>
              </w:rPr>
              <w:t>До начала подготовки рабочей документаци</w:t>
            </w:r>
            <w:r>
              <w:rPr>
                <w:rFonts w:ascii="Times New Roman" w:hAnsi="Times New Roman" w:hint="default"/>
                <w:b/>
                <w:sz w:val="24"/>
                <w:szCs w:val="24"/>
              </w:rPr>
              <w:t xml:space="preserve">и выполнить осмотр состояния </w:t>
            </w:r>
            <w:r>
              <w:rPr>
                <w:rFonts w:ascii="Times New Roman" w:hAnsi="Times New Roman" w:hint="default"/>
                <w:b/>
                <w:sz w:val="24"/>
                <w:szCs w:val="24"/>
              </w:rPr>
              <w:lastRenderedPageBreak/>
              <w:t xml:space="preserve">строительных конструкций, систем и сетей инженерно-технического обеспечения зданий, подлежащих капитальному ремонту, определить их техническое состояние и работоспособность. </w:t>
            </w:r>
          </w:p>
          <w:p w:rsidR="00E03295" w:rsidRDefault="00A85C56">
            <w:pPr>
              <w:pStyle w:val="a4"/>
              <w:snapToGrid w:val="0"/>
              <w:spacing w:after="0" w:line="240" w:lineRule="auto"/>
              <w:ind w:left="0" w:right="-96" w:firstLine="709"/>
              <w:jc w:val="both"/>
              <w:rPr>
                <w:rFonts w:ascii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hAnsi="Times New Roman" w:hint="default"/>
                <w:b/>
                <w:sz w:val="24"/>
                <w:szCs w:val="24"/>
              </w:rPr>
              <w:t>По результатам осмотра составить акт осмотра.</w:t>
            </w:r>
          </w:p>
          <w:p w:rsidR="00E03295" w:rsidRDefault="00A85C56">
            <w:pPr>
              <w:pStyle w:val="a4"/>
              <w:snapToGrid w:val="0"/>
              <w:spacing w:after="0" w:line="240" w:lineRule="auto"/>
              <w:ind w:left="0" w:right="-96" w:firstLine="709"/>
              <w:jc w:val="both"/>
              <w:rPr>
                <w:rFonts w:ascii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hAnsi="Times New Roman" w:hint="default"/>
                <w:b/>
                <w:sz w:val="24"/>
                <w:szCs w:val="24"/>
              </w:rPr>
              <w:t>Содерж</w:t>
            </w:r>
            <w:r>
              <w:rPr>
                <w:rFonts w:ascii="Times New Roman" w:hAnsi="Times New Roman" w:hint="default"/>
                <w:b/>
                <w:sz w:val="24"/>
                <w:szCs w:val="24"/>
              </w:rPr>
              <w:t>ание и оформление разделов рабочей документации необходимо выполнить в соответствии с ГОСТ Р 21.101-2020 "Система проектной документации для строительства. Основные требования к проектной и рабочей документации».</w:t>
            </w:r>
          </w:p>
          <w:p w:rsidR="00E03295" w:rsidRDefault="00A85C56">
            <w:pPr>
              <w:pStyle w:val="a4"/>
              <w:snapToGrid w:val="0"/>
              <w:spacing w:after="0" w:line="240" w:lineRule="auto"/>
              <w:ind w:left="0" w:right="-96" w:firstLine="709"/>
              <w:jc w:val="both"/>
              <w:rPr>
                <w:rFonts w:ascii="Times New Roman" w:hint="default"/>
                <w:b/>
                <w:sz w:val="24"/>
                <w:szCs w:val="24"/>
              </w:rPr>
            </w:pPr>
            <w:r>
              <w:rPr>
                <w:rFonts w:ascii="Times New Roman" w:hAnsi="Times New Roman" w:hint="default"/>
                <w:b/>
                <w:sz w:val="24"/>
                <w:szCs w:val="24"/>
              </w:rPr>
              <w:t>До начала подготовки рабочей документации в</w:t>
            </w:r>
            <w:r>
              <w:rPr>
                <w:rFonts w:ascii="Times New Roman" w:hAnsi="Times New Roman" w:hint="default"/>
                <w:b/>
                <w:sz w:val="24"/>
                <w:szCs w:val="24"/>
              </w:rPr>
              <w:t>ыполнить осмотр состояния</w:t>
            </w:r>
          </w:p>
          <w:p w:rsidR="00E03295" w:rsidRDefault="00A85C56">
            <w:pPr>
              <w:pStyle w:val="a4"/>
              <w:snapToGrid w:val="0"/>
              <w:spacing w:after="0" w:line="240" w:lineRule="auto"/>
              <w:ind w:left="0" w:right="-96"/>
              <w:jc w:val="both"/>
              <w:rPr>
                <w:rFonts w:ascii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строительных конструкций, систем и сетей инженерно-технического обеспечения зданий, подлежащих капитальному ремонту, определить их техническое состояние и работоспособность. По результатам осмотра составить акт осмотра.</w:t>
            </w:r>
          </w:p>
          <w:p w:rsidR="00E03295" w:rsidRDefault="00A85C56">
            <w:pPr>
              <w:pStyle w:val="a4"/>
              <w:snapToGrid w:val="0"/>
              <w:spacing w:after="0" w:line="240" w:lineRule="auto"/>
              <w:ind w:left="0" w:right="-96" w:firstLine="709"/>
              <w:jc w:val="both"/>
              <w:rPr>
                <w:rFonts w:ascii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hAnsi="Times New Roman" w:hint="default"/>
                <w:b/>
                <w:sz w:val="24"/>
                <w:szCs w:val="24"/>
              </w:rPr>
              <w:t>Содержани</w:t>
            </w:r>
            <w:r>
              <w:rPr>
                <w:rFonts w:ascii="Times New Roman" w:hAnsi="Times New Roman" w:hint="default"/>
                <w:b/>
                <w:sz w:val="24"/>
                <w:szCs w:val="24"/>
              </w:rPr>
              <w:t>е и оформление разделов рабочей документации необходимо выполнить в соответствии с ГОСТ Р 21.101-2020 "Система проектной документации для строительства. Основные требования к проектной и рабочей документации».</w:t>
            </w:r>
          </w:p>
          <w:p w:rsidR="00E03295" w:rsidRDefault="00A85C56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hAnsi="Times New Roman" w:hint="default"/>
                <w:b/>
                <w:sz w:val="24"/>
                <w:szCs w:val="24"/>
              </w:rPr>
              <w:t xml:space="preserve">Сметную документацию разработать в </w:t>
            </w:r>
            <w:r>
              <w:rPr>
                <w:rFonts w:ascii="Times New Roman" w:hAnsi="Times New Roman" w:hint="default"/>
                <w:b/>
                <w:sz w:val="24"/>
                <w:szCs w:val="24"/>
              </w:rPr>
              <w:t>соответствии с постановлением Правительства РФ №421/</w:t>
            </w:r>
            <w:proofErr w:type="spellStart"/>
            <w:r>
              <w:rPr>
                <w:rFonts w:ascii="Times New Roman" w:hAnsi="Times New Roman" w:hint="default"/>
                <w:b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от 23.08.2020 базисно-индексным методом. Для определения сметной стоимости строительства применять сборники Федеральных единичных расценок в редакции, действующей на момент определения сметной стоимост</w:t>
            </w:r>
            <w:r>
              <w:rPr>
                <w:rFonts w:ascii="Times New Roman" w:hAnsi="Times New Roman" w:hint="default"/>
                <w:b/>
                <w:sz w:val="24"/>
                <w:szCs w:val="24"/>
              </w:rPr>
              <w:t>и. Пересчёт стоимости из текущего уровня цен в базовый уровень цен осуществлять с использованием действующих индексов пересчёта.</w:t>
            </w:r>
          </w:p>
          <w:p w:rsidR="00E03295" w:rsidRDefault="00E03295">
            <w:pPr>
              <w:adjustRightInd w:val="0"/>
              <w:jc w:val="center"/>
              <w:rPr>
                <w:rFonts w:hint="default"/>
              </w:rPr>
            </w:pP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lastRenderedPageBreak/>
              <w:t xml:space="preserve">(указываются требования о том, что проектная документация и принятые в ней решения должны соответствовать установленным </w:t>
            </w:r>
            <w:r>
              <w:rPr>
                <w:rFonts w:hint="default"/>
                <w:sz w:val="14"/>
                <w:szCs w:val="14"/>
              </w:rPr>
              <w:t>требованиям</w:t>
            </w:r>
            <w:r>
              <w:rPr>
                <w:rFonts w:hint="default"/>
                <w:sz w:val="14"/>
                <w:szCs w:val="14"/>
              </w:rPr>
              <w:br/>
              <w:t>(необходимо указать перечень реквизитов нормативных правовых актов, технических регламентов, нормативных документов),</w:t>
            </w:r>
            <w:r>
              <w:rPr>
                <w:rFonts w:hint="default"/>
                <w:sz w:val="14"/>
                <w:szCs w:val="14"/>
              </w:rPr>
              <w:br/>
              <w:t xml:space="preserve">а также соответствовать установленному классу </w:t>
            </w:r>
            <w:proofErr w:type="spellStart"/>
            <w:r>
              <w:rPr>
                <w:rFonts w:hint="default"/>
                <w:sz w:val="14"/>
                <w:szCs w:val="14"/>
              </w:rPr>
              <w:t>энергоэффективности</w:t>
            </w:r>
            <w:proofErr w:type="spellEnd"/>
            <w:r>
              <w:rPr>
                <w:rFonts w:hint="default"/>
                <w:sz w:val="14"/>
                <w:szCs w:val="14"/>
              </w:rPr>
              <w:t xml:space="preserve"> (не ниже класса «С»))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bookmarkStart w:id="23" w:name="sub_1014"/>
      <w:r>
        <w:rPr>
          <w:rFonts w:hint="default"/>
        </w:rPr>
        <w:t>14. Необходимость выполнения инженерн</w:t>
      </w:r>
      <w:r>
        <w:rPr>
          <w:rFonts w:hint="default"/>
        </w:rPr>
        <w:t xml:space="preserve">ых изысканий для подготовки </w:t>
      </w:r>
      <w:bookmarkEnd w:id="23"/>
      <w:r>
        <w:rPr>
          <w:rFonts w:hint="default"/>
        </w:rPr>
        <w:t>проектной документации: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>отсутствует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(указывается необходимость выполнения инженерных изысканий в объеме, необходимом и достаточном для подготовки проектной документации,</w:t>
            </w:r>
            <w:r>
              <w:rPr>
                <w:rFonts w:hint="default"/>
                <w:sz w:val="14"/>
                <w:szCs w:val="14"/>
              </w:rPr>
              <w:br/>
              <w:t>или указываются реквизиты (прикладываются) материалов инж</w:t>
            </w:r>
            <w:r>
              <w:rPr>
                <w:rFonts w:hint="default"/>
                <w:sz w:val="14"/>
                <w:szCs w:val="14"/>
              </w:rPr>
              <w:t>енерных изысканий, необходимых и достаточных для подготовки проектной документации)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24" w:name="sub_1015"/>
      <w:r>
        <w:rPr>
          <w:rFonts w:hint="default"/>
        </w:rPr>
        <w:t>15. Предполагаемая (предельная) стоимость строительства объекта:</w:t>
      </w:r>
    </w:p>
    <w:bookmarkEnd w:id="2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E03295">
            <w:pPr>
              <w:adjustRightInd w:val="0"/>
              <w:jc w:val="center"/>
              <w:rPr>
                <w:rFonts w:hint="default"/>
                <w:color w:val="0070C0"/>
              </w:rPr>
            </w:pP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 xml:space="preserve">(указывается стоимость строительства объекта, определенная с применением укрупненных нормативов цены </w:t>
            </w:r>
            <w:r>
              <w:rPr>
                <w:rFonts w:hint="default"/>
                <w:sz w:val="14"/>
                <w:szCs w:val="14"/>
              </w:rPr>
              <w:t>строительства,</w:t>
            </w:r>
            <w:r>
              <w:rPr>
                <w:rFonts w:hint="default"/>
                <w:sz w:val="14"/>
                <w:szCs w:val="14"/>
              </w:rPr>
              <w:br/>
              <w:t>а при их отсутствии — с учетом документально подтвержденных сведений о сметной стоимости объектов, аналогичных по назначению,</w:t>
            </w:r>
            <w:r>
              <w:rPr>
                <w:rFonts w:hint="default"/>
                <w:sz w:val="14"/>
                <w:szCs w:val="14"/>
              </w:rPr>
              <w:br/>
              <w:t>проектной мощности, природным и иным условиям территории, на которой планируется осуществлять строительство)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25" w:name="sub_1016"/>
      <w:r>
        <w:rPr>
          <w:rFonts w:hint="default"/>
        </w:rPr>
        <w:t>16. С</w:t>
      </w:r>
      <w:r>
        <w:rPr>
          <w:rFonts w:hint="default"/>
        </w:rPr>
        <w:t>ведения об источниках финансирования строительства объекта: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25"/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областные средства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E03295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</w:p>
        </w:tc>
      </w:tr>
    </w:tbl>
    <w:p w:rsidR="00E03295" w:rsidRDefault="00E03295">
      <w:pPr>
        <w:rPr>
          <w:rFonts w:hint="default"/>
        </w:rPr>
      </w:pPr>
    </w:p>
    <w:p w:rsidR="00E03295" w:rsidRDefault="00A85C56">
      <w:pPr>
        <w:jc w:val="center"/>
        <w:rPr>
          <w:rFonts w:hint="default"/>
          <w:b/>
        </w:rPr>
      </w:pPr>
      <w:bookmarkStart w:id="26" w:name="sub_1200"/>
      <w:r>
        <w:rPr>
          <w:rFonts w:hint="default"/>
          <w:b/>
        </w:rPr>
        <w:t>II. Требования к проектным решениям</w:t>
      </w:r>
    </w:p>
    <w:bookmarkEnd w:id="26"/>
    <w:p w:rsidR="00E03295" w:rsidRDefault="00E03295">
      <w:pPr>
        <w:rPr>
          <w:rFonts w:hint="default"/>
        </w:rPr>
      </w:pPr>
    </w:p>
    <w:p w:rsidR="00E03295" w:rsidRDefault="00A85C56">
      <w:pPr>
        <w:ind w:firstLine="567"/>
        <w:rPr>
          <w:rFonts w:hint="default"/>
        </w:rPr>
      </w:pPr>
      <w:bookmarkStart w:id="27" w:name="sub_1017"/>
      <w:r>
        <w:rPr>
          <w:rFonts w:hint="default"/>
        </w:rPr>
        <w:t>17. Требования к схеме планировочной организации земельного участка:</w:t>
      </w:r>
      <w:bookmarkEnd w:id="27"/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При необходимости предусмотреть планировку и благоустройство </w:t>
            </w:r>
            <w:r>
              <w:rPr>
                <w:rFonts w:hint="default"/>
              </w:rPr>
              <w:t>примыкающей территории (предусмотреть восстановление покрытий, прилегающих к зоне работ)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(указываются для объектов производственного и непроизводственного назначения)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28" w:name="sub_1018"/>
      <w:r>
        <w:rPr>
          <w:rFonts w:hint="default"/>
        </w:rPr>
        <w:t>18. Требования к проекту полосы отвода: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28"/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(указываются для линейных объектов)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bookmarkStart w:id="29" w:name="sub_1019"/>
      <w:r>
        <w:rPr>
          <w:rFonts w:hint="default"/>
        </w:rPr>
        <w:t>19. Тре</w:t>
      </w:r>
      <w:r>
        <w:rPr>
          <w:rFonts w:hint="default"/>
        </w:rPr>
        <w:t xml:space="preserve">бования к архитектурно-художественным решениям, включая </w:t>
      </w:r>
      <w:bookmarkEnd w:id="29"/>
      <w:r>
        <w:rPr>
          <w:rFonts w:hint="default"/>
        </w:rPr>
        <w:t>требования к графическим материалам: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(указываются для объектов производственного и непроизводственного назначения)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30" w:name="sub_1020"/>
      <w:r>
        <w:rPr>
          <w:rFonts w:hint="default"/>
        </w:rPr>
        <w:t>20. Требования к технологическим решениям: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bookmarkStart w:id="31" w:name="sub_1021"/>
            <w:bookmarkEnd w:id="30"/>
            <w:r>
              <w:rPr>
                <w:rFonts w:hint="default"/>
                <w:b/>
              </w:rPr>
              <w:t xml:space="preserve">учебные, спортивные и вспомогательные </w:t>
            </w:r>
            <w:r>
              <w:rPr>
                <w:rFonts w:hint="default"/>
                <w:b/>
              </w:rPr>
              <w:t>помещения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r>
        <w:rPr>
          <w:rFonts w:hint="default"/>
        </w:rPr>
        <w:t xml:space="preserve">21. Требования к конструктивным и объемно-планировочным решениям </w:t>
      </w:r>
      <w:bookmarkEnd w:id="31"/>
      <w:r>
        <w:rPr>
          <w:rFonts w:hint="default"/>
        </w:rPr>
        <w:t>(указываются для объектов производственного и непроизводственного назначения):</w:t>
      </w:r>
    </w:p>
    <w:p w:rsidR="00E03295" w:rsidRDefault="00A85C56">
      <w:pPr>
        <w:ind w:firstLine="567"/>
        <w:jc w:val="both"/>
        <w:rPr>
          <w:rFonts w:hint="default"/>
        </w:rPr>
      </w:pPr>
      <w:bookmarkStart w:id="32" w:name="sub_211"/>
      <w:r>
        <w:rPr>
          <w:rFonts w:hint="default"/>
        </w:rPr>
        <w:t xml:space="preserve">21.1. Порядок выбора и применения материалов, изделий, конструкций, </w:t>
      </w:r>
      <w:bookmarkEnd w:id="32"/>
      <w:r>
        <w:rPr>
          <w:rFonts w:hint="default"/>
        </w:rPr>
        <w:t>оборудования и их согласования за</w:t>
      </w:r>
      <w:r>
        <w:rPr>
          <w:rFonts w:hint="default"/>
        </w:rPr>
        <w:t>стройщиком (техническим заказчиком):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(указывается порядок направления проектной организацией вариантов применяемых материалов, изделий, конструкций,</w:t>
            </w:r>
            <w:r>
              <w:rPr>
                <w:rFonts w:hint="default"/>
                <w:sz w:val="14"/>
                <w:szCs w:val="14"/>
              </w:rPr>
              <w:br/>
              <w:t>оборудования и их рассмотрения и согласования застройщиком (техническим заказчиком)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33" w:name="sub_212"/>
      <w:r>
        <w:rPr>
          <w:rFonts w:hint="default"/>
        </w:rPr>
        <w:t xml:space="preserve">21.2. Требования к </w:t>
      </w:r>
      <w:r>
        <w:rPr>
          <w:rFonts w:hint="default"/>
        </w:rPr>
        <w:t>строительным конструкциям: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33"/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>Применяемые строительные и отделочные материалы, изделия и оборудование должны быть безвредными для здоровья человека и применяться только при наличии санитарно-эпидемиологического заключения, а также иметь сертификаты соответств</w:t>
            </w:r>
            <w:r>
              <w:rPr>
                <w:rFonts w:hint="default"/>
              </w:rPr>
              <w:t>ия и пожарной безопасности (при наличии)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(в том числе указываются требования по применению в конструкциях и отделке высококачественных износоустойчивых, экологически чистых материалов)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34" w:name="sub_213"/>
      <w:r>
        <w:rPr>
          <w:rFonts w:hint="default"/>
        </w:rPr>
        <w:t>21.3. Требования к фундаментам: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34"/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 xml:space="preserve">(указывается необходимость </w:t>
            </w:r>
            <w:r>
              <w:rPr>
                <w:rFonts w:hint="default"/>
                <w:sz w:val="14"/>
                <w:szCs w:val="14"/>
              </w:rPr>
              <w:t>разработки решений фундаментов с учетом результатов инженерных изысканий, а также технико-экономического сравнения вариантов)</w:t>
            </w:r>
          </w:p>
        </w:tc>
      </w:tr>
    </w:tbl>
    <w:p w:rsidR="00E03295" w:rsidRDefault="00E03295">
      <w:pPr>
        <w:ind w:firstLine="567"/>
        <w:rPr>
          <w:rFonts w:hint="default"/>
        </w:rPr>
      </w:pPr>
      <w:bookmarkStart w:id="35" w:name="sub_214"/>
    </w:p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21.4. Требования к стенам, подвалам и цокольному этажу: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35"/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>-согласно акта осмотра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(указывается необходимость применения материалов</w:t>
            </w:r>
            <w:r>
              <w:rPr>
                <w:rFonts w:hint="default"/>
                <w:sz w:val="14"/>
                <w:szCs w:val="14"/>
              </w:rPr>
              <w:t>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36" w:name="sub_215"/>
      <w:r>
        <w:rPr>
          <w:rFonts w:hint="default"/>
        </w:rPr>
        <w:t>21.5. Требования к наружным стенам: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36"/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  <w:b/>
              </w:rPr>
              <w:t>-согласно акта осмотра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 xml:space="preserve">(указывается необходимость применения материалов, изделий, конструкций либо определяются </w:t>
            </w:r>
            <w:r>
              <w:rPr>
                <w:rFonts w:hint="default"/>
                <w:sz w:val="14"/>
                <w:szCs w:val="14"/>
              </w:rPr>
              <w:t>конкретные требования к материалам, изделиям, конструкциям)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37" w:name="sub_216"/>
      <w:r>
        <w:rPr>
          <w:rFonts w:hint="default"/>
        </w:rPr>
        <w:t>21.6. Требования к внутренним стенам и перегородкам: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37"/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  <w:b/>
              </w:rPr>
              <w:t>-согласно акта осмотра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</w:t>
            </w:r>
            <w:r>
              <w:rPr>
                <w:rFonts w:hint="default"/>
                <w:sz w:val="14"/>
                <w:szCs w:val="14"/>
              </w:rPr>
              <w:t>иалам, изделиям, конструкциям)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38" w:name="sub_217"/>
      <w:r>
        <w:rPr>
          <w:rFonts w:hint="default"/>
        </w:rPr>
        <w:t>21.7. Требования к перекрытиям: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38"/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  <w:b/>
              </w:rPr>
              <w:t>-согласно акта осмотра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39" w:name="sub_218"/>
      <w:r>
        <w:rPr>
          <w:rFonts w:hint="default"/>
        </w:rPr>
        <w:t>21.8. Требования к</w:t>
      </w:r>
      <w:r>
        <w:rPr>
          <w:rFonts w:hint="default"/>
        </w:rPr>
        <w:t xml:space="preserve"> колоннам, ригелям: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39"/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>-согласно акта осмотра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40" w:name="sub_219"/>
      <w:r>
        <w:rPr>
          <w:rFonts w:hint="default"/>
        </w:rPr>
        <w:t>21.9. Требования к лестницам: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40"/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>-согласно акта осмотра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</w:t>
            </w:r>
            <w:r>
              <w:rPr>
                <w:rFonts w:hint="default"/>
                <w:sz w:val="14"/>
                <w:szCs w:val="14"/>
              </w:rPr>
              <w:t>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41" w:name="sub_2110"/>
      <w:r>
        <w:rPr>
          <w:rFonts w:hint="default"/>
        </w:rPr>
        <w:t>21.10. Требования к полам: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41"/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>-согласно акта осмотра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(указывается необходимость применения материалов, изделий, конс</w:t>
            </w:r>
            <w:r>
              <w:rPr>
                <w:rFonts w:hint="default"/>
                <w:sz w:val="14"/>
                <w:szCs w:val="14"/>
              </w:rPr>
              <w:t>трукций либо определяются конкретные требования к материалам, изделиям, конструкциям)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42" w:name="sub_12111"/>
      <w:r>
        <w:rPr>
          <w:rFonts w:hint="default"/>
        </w:rPr>
        <w:t>21.11. Требования к кровле: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42"/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  <w:color w:val="0070C0"/>
              </w:rPr>
              <w:t>-</w:t>
            </w:r>
            <w:r>
              <w:rPr>
                <w:rFonts w:hint="default"/>
                <w:b/>
              </w:rPr>
              <w:t>согласно акта осмотра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 xml:space="preserve">(указывается необходимость применения материалов, изделий, конструкций либо определяются конкретные требования к </w:t>
            </w:r>
            <w:r>
              <w:rPr>
                <w:rFonts w:hint="default"/>
                <w:sz w:val="14"/>
                <w:szCs w:val="14"/>
              </w:rPr>
              <w:t>материалам, изделиям, конструкциям)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43" w:name="sub_2112"/>
      <w:r>
        <w:rPr>
          <w:rFonts w:hint="default"/>
        </w:rPr>
        <w:t>21.12. Требования к витражам, окнам: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43"/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>-согласно акта осмотра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E03295" w:rsidRDefault="00A85C56">
      <w:pPr>
        <w:ind w:firstLine="567"/>
        <w:rPr>
          <w:rFonts w:hint="default"/>
          <w:color w:val="0070C0"/>
        </w:rPr>
      </w:pPr>
      <w:bookmarkStart w:id="44" w:name="sub_2113"/>
      <w:r>
        <w:rPr>
          <w:rFonts w:hint="default"/>
        </w:rPr>
        <w:t>21.13. Т</w:t>
      </w:r>
      <w:r>
        <w:rPr>
          <w:rFonts w:hint="default"/>
        </w:rPr>
        <w:t>ребования к дверям: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44"/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>-согласно акта осмотра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45" w:name="sub_2114"/>
      <w:r>
        <w:rPr>
          <w:rFonts w:hint="default"/>
        </w:rPr>
        <w:t>21.14. Требования к внутренней отделке: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45"/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Применяемые </w:t>
            </w:r>
            <w:r>
              <w:rPr>
                <w:rFonts w:hint="default"/>
              </w:rPr>
              <w:t>строительные и отделочные материалы, изделия и оборудование должны быть безвредными для здоровья человека и применяться только при наличии санитарно-эпидемиологического заключения, а также иметь сертификаты соответствия и пожарной безопасности (при наличии</w:t>
            </w:r>
            <w:r>
              <w:rPr>
                <w:rFonts w:hint="default"/>
              </w:rPr>
              <w:t>)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</w:t>
            </w:r>
            <w:r>
              <w:rPr>
                <w:rFonts w:hint="default"/>
                <w:sz w:val="14"/>
                <w:szCs w:val="14"/>
              </w:rPr>
              <w:br/>
              <w:t>необходимость применения материалов для внутренней отделки объекта на основании вариантов цветовых решений помещен</w:t>
            </w:r>
            <w:r>
              <w:rPr>
                <w:rFonts w:hint="default"/>
                <w:sz w:val="14"/>
                <w:szCs w:val="14"/>
              </w:rPr>
              <w:t>ий объекта)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46" w:name="sub_2115"/>
      <w:r>
        <w:rPr>
          <w:rFonts w:hint="default"/>
        </w:rPr>
        <w:t>21.15. Требования к наружной отделке: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46"/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Применяемые строительные и отделочные материалы, изделия и оборудование должны быть безвредными для здоровья человека и применяться только при наличии санитарно-эпидемиологического заключения, а также имет</w:t>
            </w:r>
            <w:r>
              <w:rPr>
                <w:rFonts w:hint="default"/>
              </w:rPr>
              <w:t>ь сертификаты соответствия и пожарной безопасности (при наличии)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</w:t>
            </w:r>
            <w:r>
              <w:rPr>
                <w:rFonts w:hint="default"/>
                <w:sz w:val="14"/>
                <w:szCs w:val="14"/>
              </w:rPr>
              <w:br/>
              <w:t xml:space="preserve">необходимость применения материалов для наружной </w:t>
            </w:r>
            <w:r>
              <w:rPr>
                <w:rFonts w:hint="default"/>
                <w:sz w:val="14"/>
                <w:szCs w:val="14"/>
              </w:rPr>
              <w:t>отделки объекта на основании вариантов цветовых решений фасадов объекта)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bookmarkStart w:id="47" w:name="sub_2116"/>
      <w:r>
        <w:rPr>
          <w:rFonts w:hint="default"/>
        </w:rPr>
        <w:t xml:space="preserve">21.16. Требования к обеспечению безопасности объекта при опасных </w:t>
      </w:r>
      <w:bookmarkEnd w:id="47"/>
      <w:r>
        <w:rPr>
          <w:rFonts w:hint="default"/>
        </w:rPr>
        <w:t>природных процессах и</w:t>
      </w:r>
      <w:r>
        <w:rPr>
          <w:rFonts w:hint="default"/>
          <w:lang w:val="en-US"/>
        </w:rPr>
        <w:t> </w:t>
      </w:r>
      <w:r>
        <w:rPr>
          <w:rFonts w:hint="default"/>
        </w:rPr>
        <w:t>явлениях и техногенных воздействиях: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(указываются в случае если строительство и эксплуатация</w:t>
            </w:r>
            <w:r>
              <w:rPr>
                <w:rFonts w:hint="default"/>
                <w:sz w:val="14"/>
                <w:szCs w:val="14"/>
              </w:rPr>
              <w:t xml:space="preserve"> объекта планируется в сложных природных условиях)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48" w:name="sub_2117"/>
      <w:r>
        <w:rPr>
          <w:rFonts w:hint="default"/>
        </w:rPr>
        <w:t>21.17. Требования к инженерной защите территории объекта: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48"/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(указываются в случае если строительство и эксплуатация объекта планируется в сложных природных условиях)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49" w:name="sub_1022"/>
      <w:r>
        <w:rPr>
          <w:rFonts w:hint="default"/>
        </w:rPr>
        <w:t>22. Требования к технологическим и к</w:t>
      </w:r>
      <w:r>
        <w:rPr>
          <w:rFonts w:hint="default"/>
        </w:rPr>
        <w:t xml:space="preserve">онструктивным решениям линейного </w:t>
      </w:r>
      <w:bookmarkEnd w:id="49"/>
      <w:r>
        <w:rPr>
          <w:rFonts w:hint="default"/>
        </w:rPr>
        <w:t>объекта: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lastRenderedPageBreak/>
              <w:t>(указываются для линейных объектов)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bookmarkStart w:id="50" w:name="sub_1023"/>
      <w:r>
        <w:rPr>
          <w:rFonts w:hint="default"/>
        </w:rPr>
        <w:t xml:space="preserve">23. Требования к зданиям, строениям и сооружениям, входящим в </w:t>
      </w:r>
      <w:bookmarkEnd w:id="50"/>
      <w:r>
        <w:rPr>
          <w:rFonts w:hint="default"/>
        </w:rPr>
        <w:t>инфраструктуру линейного объекта: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(указываются для линейных объектов)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51" w:name="sub_1024"/>
      <w:r>
        <w:rPr>
          <w:rFonts w:hint="default"/>
        </w:rPr>
        <w:t>24. Требования к инженерно-техническим</w:t>
      </w:r>
      <w:r>
        <w:rPr>
          <w:rFonts w:hint="default"/>
        </w:rPr>
        <w:t xml:space="preserve"> решениям:</w:t>
      </w:r>
    </w:p>
    <w:p w:rsidR="00E03295" w:rsidRDefault="00A85C56">
      <w:pPr>
        <w:ind w:firstLine="567"/>
        <w:jc w:val="both"/>
        <w:rPr>
          <w:rFonts w:hint="default"/>
        </w:rPr>
      </w:pPr>
      <w:bookmarkStart w:id="52" w:name="sub_241"/>
      <w:bookmarkEnd w:id="51"/>
      <w:r>
        <w:rPr>
          <w:rFonts w:hint="default"/>
        </w:rPr>
        <w:t xml:space="preserve">24.1. Требования к основному технологическому оборудованию </w:t>
      </w:r>
      <w:bookmarkEnd w:id="52"/>
      <w:r>
        <w:rPr>
          <w:rFonts w:hint="default"/>
        </w:rPr>
        <w:t xml:space="preserve">(указывается тип и основные характеристики по укрупненной номенклатуре, для объектов непроизводственного назначения должно быть установлено требование о выборе оборудования на основании </w:t>
      </w:r>
      <w:r>
        <w:rPr>
          <w:rFonts w:hint="default"/>
        </w:rPr>
        <w:t>технико-экономических расчетов, технико-экономического сравнения вариантов):</w:t>
      </w:r>
    </w:p>
    <w:p w:rsidR="00E03295" w:rsidRDefault="00A85C56">
      <w:pPr>
        <w:ind w:firstLine="567"/>
        <w:rPr>
          <w:rFonts w:hint="default"/>
        </w:rPr>
      </w:pPr>
      <w:bookmarkStart w:id="53" w:name="sub_2411"/>
      <w:r>
        <w:rPr>
          <w:rFonts w:hint="default"/>
        </w:rPr>
        <w:t>24.1.1. Отопление: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bookmarkStart w:id="54" w:name="sub_2412"/>
            <w:bookmarkEnd w:id="53"/>
            <w:r>
              <w:rPr>
                <w:rFonts w:hint="default"/>
                <w:b/>
              </w:rPr>
              <w:t>согласно акта осмотра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24.1.2. Вентиляция: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bookmarkStart w:id="55" w:name="sub_2413"/>
            <w:bookmarkEnd w:id="54"/>
            <w:r>
              <w:rPr>
                <w:rFonts w:hint="default"/>
                <w:b/>
              </w:rPr>
              <w:t>согласно акта осмотра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24.1.3. Водопровод:</w:t>
      </w:r>
    </w:p>
    <w:tbl>
      <w:tblPr>
        <w:tblW w:w="20382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bookmarkStart w:id="56" w:name="sub_2414"/>
            <w:bookmarkEnd w:id="55"/>
            <w:r>
              <w:rPr>
                <w:rFonts w:hint="default"/>
                <w:b/>
              </w:rPr>
              <w:t>согласно акта осмотра</w:t>
            </w:r>
          </w:p>
        </w:tc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E03295">
            <w:pPr>
              <w:adjustRightInd w:val="0"/>
              <w:jc w:val="center"/>
              <w:rPr>
                <w:rFonts w:hint="default"/>
              </w:rPr>
            </w:pPr>
          </w:p>
        </w:tc>
      </w:tr>
    </w:tbl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24.1.4. Канализация:</w:t>
      </w:r>
    </w:p>
    <w:tbl>
      <w:tblPr>
        <w:tblW w:w="20382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bookmarkStart w:id="57" w:name="sub_2415"/>
            <w:bookmarkEnd w:id="56"/>
            <w:r>
              <w:rPr>
                <w:rFonts w:hint="default"/>
                <w:b/>
              </w:rPr>
              <w:t>согласно акта осмотра</w:t>
            </w:r>
          </w:p>
        </w:tc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E03295">
            <w:pPr>
              <w:adjustRightInd w:val="0"/>
              <w:jc w:val="center"/>
              <w:rPr>
                <w:rFonts w:hint="default"/>
              </w:rPr>
            </w:pPr>
          </w:p>
        </w:tc>
      </w:tr>
    </w:tbl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24.1.5. Электроснабжение:</w:t>
      </w:r>
    </w:p>
    <w:tbl>
      <w:tblPr>
        <w:tblW w:w="20382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bookmarkStart w:id="58" w:name="sub_2416"/>
            <w:bookmarkEnd w:id="57"/>
            <w:r>
              <w:rPr>
                <w:rFonts w:hint="default"/>
                <w:b/>
              </w:rPr>
              <w:t>согласно акта осмотра</w:t>
            </w:r>
          </w:p>
        </w:tc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E03295">
            <w:pPr>
              <w:adjustRightInd w:val="0"/>
              <w:jc w:val="center"/>
              <w:rPr>
                <w:rFonts w:hint="default"/>
              </w:rPr>
            </w:pPr>
          </w:p>
        </w:tc>
      </w:tr>
    </w:tbl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24.1.6. Телефонизация:</w:t>
      </w:r>
    </w:p>
    <w:tbl>
      <w:tblPr>
        <w:tblW w:w="20382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bookmarkStart w:id="59" w:name="sub_2417"/>
            <w:bookmarkEnd w:id="58"/>
            <w:r>
              <w:rPr>
                <w:rFonts w:hint="default"/>
                <w:b/>
              </w:rPr>
              <w:t>согласно акта осмотра</w:t>
            </w:r>
          </w:p>
        </w:tc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E03295">
            <w:pPr>
              <w:adjustRightInd w:val="0"/>
              <w:jc w:val="center"/>
              <w:rPr>
                <w:rFonts w:hint="default"/>
              </w:rPr>
            </w:pPr>
          </w:p>
        </w:tc>
      </w:tr>
    </w:tbl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24.1.7. Радиофикация:</w:t>
      </w:r>
    </w:p>
    <w:tbl>
      <w:tblPr>
        <w:tblW w:w="20382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bookmarkStart w:id="60" w:name="sub_2418"/>
            <w:bookmarkEnd w:id="59"/>
            <w:r>
              <w:rPr>
                <w:rFonts w:hint="default"/>
                <w:b/>
              </w:rPr>
              <w:t>согласно акта осмотра</w:t>
            </w:r>
          </w:p>
        </w:tc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E03295">
            <w:pPr>
              <w:adjustRightInd w:val="0"/>
              <w:jc w:val="center"/>
              <w:rPr>
                <w:rFonts w:hint="default"/>
              </w:rPr>
            </w:pPr>
          </w:p>
        </w:tc>
      </w:tr>
    </w:tbl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24.1.8. Информационно-телекоммуникационная сеть «Интернет»:</w:t>
      </w:r>
    </w:p>
    <w:tbl>
      <w:tblPr>
        <w:tblW w:w="20382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bookmarkStart w:id="61" w:name="sub_2419"/>
            <w:bookmarkEnd w:id="60"/>
            <w:r>
              <w:rPr>
                <w:rFonts w:hint="default"/>
                <w:b/>
              </w:rPr>
              <w:t>согласно акта осмотра</w:t>
            </w:r>
          </w:p>
        </w:tc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E03295">
            <w:pPr>
              <w:adjustRightInd w:val="0"/>
              <w:jc w:val="center"/>
              <w:rPr>
                <w:rFonts w:hint="default"/>
              </w:rPr>
            </w:pPr>
          </w:p>
        </w:tc>
      </w:tr>
    </w:tbl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24.1.9. Телевидение:</w:t>
      </w:r>
    </w:p>
    <w:tbl>
      <w:tblPr>
        <w:tblW w:w="20382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bookmarkStart w:id="62" w:name="sub_24110"/>
            <w:bookmarkEnd w:id="61"/>
            <w:r>
              <w:rPr>
                <w:rFonts w:hint="default"/>
                <w:b/>
              </w:rPr>
              <w:t>согласно</w:t>
            </w:r>
            <w:r>
              <w:rPr>
                <w:rFonts w:hint="default"/>
                <w:b/>
              </w:rPr>
              <w:t xml:space="preserve"> акта осмотра</w:t>
            </w:r>
          </w:p>
        </w:tc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E03295">
            <w:pPr>
              <w:adjustRightInd w:val="0"/>
              <w:jc w:val="center"/>
              <w:rPr>
                <w:rFonts w:hint="default"/>
              </w:rPr>
            </w:pPr>
          </w:p>
        </w:tc>
      </w:tr>
    </w:tbl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24.1.10. Газификация: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bookmarkStart w:id="63" w:name="sub_24111"/>
            <w:bookmarkEnd w:id="62"/>
            <w:r>
              <w:rPr>
                <w:rFonts w:hint="default"/>
              </w:rPr>
              <w:t>-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24.1.11. Автоматизация и диспетчеризация:</w:t>
      </w:r>
    </w:p>
    <w:tbl>
      <w:tblPr>
        <w:tblW w:w="20382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bookmarkStart w:id="64" w:name="sub_242"/>
            <w:bookmarkEnd w:id="63"/>
            <w:r>
              <w:rPr>
                <w:rFonts w:hint="default"/>
                <w:b/>
              </w:rPr>
              <w:t>согласно акта осмотра</w:t>
            </w:r>
          </w:p>
        </w:tc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E03295">
            <w:pPr>
              <w:adjustRightInd w:val="0"/>
              <w:jc w:val="center"/>
              <w:rPr>
                <w:rFonts w:hint="default"/>
              </w:rPr>
            </w:pP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r>
        <w:rPr>
          <w:rFonts w:hint="default"/>
        </w:rPr>
        <w:t xml:space="preserve">24.2. Требования к наружным сетям инженерно-технического </w:t>
      </w:r>
      <w:bookmarkEnd w:id="64"/>
      <w:r>
        <w:rPr>
          <w:rFonts w:hint="default"/>
        </w:rPr>
        <w:t xml:space="preserve">обеспечения, точкам присоединения (указываются требования к объемам проектирования внешних </w:t>
      </w:r>
      <w:r>
        <w:rPr>
          <w:rFonts w:hint="default"/>
        </w:rPr>
        <w:t>сетей и реквизиты полученных технических условий, которые прилагаются к заданию на проектирование):</w:t>
      </w:r>
    </w:p>
    <w:p w:rsidR="00E03295" w:rsidRDefault="00A85C56">
      <w:pPr>
        <w:ind w:firstLine="567"/>
        <w:rPr>
          <w:rFonts w:hint="default"/>
        </w:rPr>
      </w:pPr>
      <w:bookmarkStart w:id="65" w:name="sub_2421"/>
      <w:r>
        <w:rPr>
          <w:rFonts w:hint="default"/>
        </w:rPr>
        <w:t>24.2.1. Водоснабжение: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bookmarkStart w:id="66" w:name="sub_2422"/>
            <w:bookmarkEnd w:id="65"/>
            <w:r>
              <w:rPr>
                <w:rFonts w:hint="default"/>
              </w:rPr>
              <w:t>-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24.2.2. Водоотведение: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color w:val="0070C0"/>
              </w:rPr>
            </w:pPr>
            <w:bookmarkStart w:id="67" w:name="sub_2423"/>
            <w:bookmarkEnd w:id="66"/>
            <w:r>
              <w:rPr>
                <w:rFonts w:hint="default"/>
                <w:color w:val="0070C0"/>
              </w:rPr>
              <w:t>-</w:t>
            </w:r>
            <w:r>
              <w:rPr>
                <w:rFonts w:hint="default"/>
                <w:b/>
              </w:rPr>
              <w:t>до первого колодца согласно акта осмотра</w:t>
            </w:r>
            <w:r>
              <w:rPr>
                <w:rFonts w:hint="default"/>
                <w:color w:val="0070C0"/>
              </w:rPr>
              <w:t xml:space="preserve"> 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24.2.3. Теплоснабжение: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bookmarkStart w:id="68" w:name="sub_2424"/>
            <w:bookmarkEnd w:id="67"/>
            <w:r>
              <w:rPr>
                <w:rFonts w:hint="default"/>
                <w:color w:val="0070C0"/>
              </w:rPr>
              <w:t>-</w:t>
            </w:r>
            <w:r>
              <w:rPr>
                <w:rFonts w:hint="default"/>
                <w:b/>
              </w:rPr>
              <w:t>до тепловой камеры согласно акта осмот</w:t>
            </w:r>
            <w:r>
              <w:rPr>
                <w:rFonts w:hint="default"/>
                <w:b/>
              </w:rPr>
              <w:t>ра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24.2.4. Электроснабжение: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bookmarkStart w:id="69" w:name="sub_2425"/>
            <w:bookmarkEnd w:id="68"/>
            <w:r>
              <w:rPr>
                <w:rFonts w:hint="default"/>
                <w:b/>
              </w:rPr>
              <w:t>согласно акта осмотра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24.2.5. Телефонизация: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bookmarkStart w:id="70" w:name="sub_2426"/>
            <w:bookmarkEnd w:id="69"/>
            <w:r>
              <w:rPr>
                <w:rFonts w:hint="default"/>
                <w:b/>
              </w:rPr>
              <w:t>согласно акта осмотра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24.2.6. Радиофикация: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bookmarkStart w:id="71" w:name="sub_2427"/>
            <w:bookmarkEnd w:id="70"/>
            <w:r>
              <w:rPr>
                <w:rFonts w:hint="default"/>
                <w:b/>
              </w:rPr>
              <w:t>согласно акта осмотра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24.2.7. Информационно-телекоммуникационная сеть «Интернет»: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bookmarkStart w:id="72" w:name="sub_2428"/>
            <w:bookmarkEnd w:id="71"/>
            <w:r>
              <w:rPr>
                <w:rFonts w:hint="default"/>
                <w:b/>
              </w:rPr>
              <w:t>согласно акта осмотра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24.2.8. Телевидение: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bookmarkStart w:id="73" w:name="sub_2429"/>
            <w:bookmarkEnd w:id="72"/>
            <w:r>
              <w:rPr>
                <w:rFonts w:hint="default"/>
                <w:b/>
              </w:rPr>
              <w:t>согласно</w:t>
            </w:r>
            <w:r>
              <w:rPr>
                <w:rFonts w:hint="default"/>
                <w:b/>
              </w:rPr>
              <w:t xml:space="preserve"> акта осмотра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24.2.9. Газоснабжение: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397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bookmarkStart w:id="74" w:name="sub_24210"/>
            <w:bookmarkEnd w:id="73"/>
            <w:r>
              <w:rPr>
                <w:rFonts w:hint="default"/>
              </w:rPr>
              <w:t>-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24.2.10. Иные сети инженерно-технического обеспечения: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bookmarkStart w:id="75" w:name="sub_1025"/>
            <w:bookmarkEnd w:id="74"/>
            <w:r>
              <w:rPr>
                <w:rFonts w:hint="default"/>
              </w:rPr>
              <w:lastRenderedPageBreak/>
              <w:t>-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25. Требования к мероприятиям по охране окружающей среды: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bookmarkStart w:id="76" w:name="sub_1026"/>
            <w:bookmarkEnd w:id="75"/>
            <w:r>
              <w:rPr>
                <w:rFonts w:hint="default"/>
              </w:rPr>
              <w:t>-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26. Требования к мероприятиям по обеспечению пожарной безопасности: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bookmarkStart w:id="77" w:name="sub_1027"/>
            <w:bookmarkEnd w:id="76"/>
            <w:r>
              <w:rPr>
                <w:rFonts w:hint="default"/>
                <w:b/>
              </w:rPr>
              <w:t>согласно акта осмотра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r>
        <w:rPr>
          <w:rFonts w:hint="default"/>
        </w:rPr>
        <w:t xml:space="preserve">27. Требования к мероприятиям по обеспечению соблюдения требований </w:t>
      </w:r>
      <w:bookmarkEnd w:id="77"/>
      <w:r>
        <w:rPr>
          <w:rFonts w:hint="default"/>
        </w:rPr>
        <w:t>энергетической эффективности и по оснащенности объекта приборами учета используемых энергетических ресурсов: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>согласно акта осмотра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 xml:space="preserve">(не указываются в отношении объектов, на которые </w:t>
            </w:r>
            <w:r>
              <w:rPr>
                <w:rFonts w:hint="default"/>
                <w:sz w:val="14"/>
                <w:szCs w:val="14"/>
              </w:rPr>
              <w:t>требования энергетической эффективности и требования оснащенности их приборами учета</w:t>
            </w:r>
            <w:r>
              <w:rPr>
                <w:rFonts w:hint="default"/>
                <w:sz w:val="14"/>
                <w:szCs w:val="14"/>
              </w:rPr>
              <w:br/>
              <w:t>используемых энергетических ресурсов не распространяются)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78" w:name="sub_1028"/>
      <w:r>
        <w:rPr>
          <w:rFonts w:hint="default"/>
        </w:rPr>
        <w:t xml:space="preserve">28. Требования к мероприятиям по обеспечению доступа инвалидов к </w:t>
      </w:r>
      <w:bookmarkEnd w:id="78"/>
      <w:r>
        <w:rPr>
          <w:rFonts w:hint="default"/>
        </w:rPr>
        <w:t>объекту: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>согласно акта осмотра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(указываются дл</w:t>
            </w:r>
            <w:r>
              <w:rPr>
                <w:rFonts w:hint="default"/>
                <w:sz w:val="14"/>
                <w:szCs w:val="14"/>
              </w:rPr>
              <w:t>я объектов здравоохранения, образования, культуры, отдыха, спорта и иных объектов социально-культурного</w:t>
            </w:r>
            <w:r>
              <w:rPr>
                <w:rFonts w:hint="default"/>
                <w:sz w:val="14"/>
                <w:szCs w:val="14"/>
              </w:rPr>
              <w:br/>
              <w:t>и коммунально-бытового назначения, объектов транспорта, торговли, общественного питания, объектов делового, административного,</w:t>
            </w:r>
            <w:r>
              <w:rPr>
                <w:rFonts w:hint="default"/>
                <w:sz w:val="14"/>
                <w:szCs w:val="14"/>
              </w:rPr>
              <w:br/>
              <w:t>финансового, религиозного</w:t>
            </w:r>
            <w:r>
              <w:rPr>
                <w:rFonts w:hint="default"/>
                <w:sz w:val="14"/>
                <w:szCs w:val="14"/>
              </w:rPr>
              <w:t xml:space="preserve"> назначения, объектов жилищного фонда)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bookmarkStart w:id="79" w:name="sub_1029"/>
      <w:r>
        <w:rPr>
          <w:rFonts w:hint="default"/>
        </w:rPr>
        <w:t xml:space="preserve">29. Требования к инженерно-техническому укреплению объекта в целях </w:t>
      </w:r>
      <w:bookmarkEnd w:id="79"/>
      <w:r>
        <w:rPr>
          <w:rFonts w:hint="default"/>
        </w:rPr>
        <w:t>обеспечения его антитеррористической защищенности: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(указывается необходимость выполнения мероприятий и (или) соответствующих разделов проектной до</w:t>
            </w:r>
            <w:r>
              <w:rPr>
                <w:rFonts w:hint="default"/>
                <w:sz w:val="14"/>
                <w:szCs w:val="14"/>
              </w:rPr>
              <w:t>кументации в соответствии с требованиями</w:t>
            </w:r>
            <w:r>
              <w:rPr>
                <w:rFonts w:hint="default"/>
                <w:sz w:val="14"/>
                <w:szCs w:val="14"/>
              </w:rPr>
              <w:br/>
              <w:t>технических регламентов с учетом функционального назначения и параметров объекта, а также требований постановления</w:t>
            </w:r>
            <w:r>
              <w:rPr>
                <w:rFonts w:hint="default"/>
                <w:sz w:val="14"/>
                <w:szCs w:val="14"/>
              </w:rPr>
              <w:br/>
              <w:t>Правительства Российской Федерации от 25 декабря 2013 года № 1244 «Об антитеррористической защищенно</w:t>
            </w:r>
            <w:r>
              <w:rPr>
                <w:rFonts w:hint="default"/>
                <w:sz w:val="14"/>
                <w:szCs w:val="14"/>
              </w:rPr>
              <w:t>сти объектов (территорий)»</w:t>
            </w:r>
            <w:r>
              <w:rPr>
                <w:rFonts w:hint="default"/>
                <w:sz w:val="14"/>
                <w:szCs w:val="14"/>
              </w:rPr>
              <w:br/>
              <w:t>(Собрание законодательства Российской Федерации, 2013, № 52, ст. 7220, 2016, № 50, ст. 7108; 2017, № 31, ст. 4929, № 33, ст. 5192)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bookmarkStart w:id="80" w:name="sub_1030"/>
      <w:r>
        <w:rPr>
          <w:rFonts w:hint="default"/>
        </w:rPr>
        <w:t xml:space="preserve">30. Требования к соблюдению безопасных для здоровья человека условий </w:t>
      </w:r>
      <w:bookmarkEnd w:id="80"/>
      <w:r>
        <w:rPr>
          <w:rFonts w:hint="default"/>
        </w:rPr>
        <w:t>проживания и</w:t>
      </w:r>
      <w:r>
        <w:rPr>
          <w:rFonts w:hint="default"/>
          <w:lang w:val="en-US"/>
        </w:rPr>
        <w:t> </w:t>
      </w:r>
      <w:r>
        <w:rPr>
          <w:rFonts w:hint="default"/>
        </w:rPr>
        <w:t xml:space="preserve">пребывания в </w:t>
      </w:r>
      <w:r>
        <w:rPr>
          <w:rFonts w:hint="default"/>
        </w:rPr>
        <w:t>объекте и требования к соблюдению безопасного уровня воздействия объекта на</w:t>
      </w:r>
      <w:r>
        <w:rPr>
          <w:rFonts w:hint="default"/>
          <w:lang w:val="en-US"/>
        </w:rPr>
        <w:t> </w:t>
      </w:r>
      <w:r>
        <w:rPr>
          <w:rFonts w:hint="default"/>
        </w:rPr>
        <w:t>окружающую среду: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Применяемые строительные и отделочные материалы, изделия и оборудование должны быть безвредными для здоровья человека и применяться только при наличии </w:t>
            </w:r>
            <w:r>
              <w:rPr>
                <w:rFonts w:hint="default"/>
              </w:rPr>
              <w:t>санитарно-эпидемиологического заключения, а также иметь сертификаты соответствия и пожарной безопасности (при наличии). В объеме разделов проектной документации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 xml:space="preserve">(указывается необходимость выполнения мероприятий и (или) подготовки соответствующих разделов </w:t>
            </w:r>
            <w:r>
              <w:rPr>
                <w:rFonts w:hint="default"/>
                <w:sz w:val="14"/>
                <w:szCs w:val="14"/>
              </w:rPr>
              <w:t>проектной документации</w:t>
            </w:r>
            <w:r>
              <w:rPr>
                <w:rFonts w:hint="default"/>
                <w:sz w:val="14"/>
                <w:szCs w:val="14"/>
              </w:rPr>
              <w:br/>
              <w:t>в соответствии с требованиями технических регламентов с учетом функционального назначения, а также экологической</w:t>
            </w:r>
            <w:r>
              <w:rPr>
                <w:rFonts w:hint="default"/>
                <w:sz w:val="14"/>
                <w:szCs w:val="14"/>
              </w:rPr>
              <w:br/>
              <w:t>и санитарно-гигиенической опасности предприятия (объекта))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bookmarkStart w:id="81" w:name="sub_1031"/>
      <w:r>
        <w:rPr>
          <w:rFonts w:hint="default"/>
        </w:rPr>
        <w:t xml:space="preserve">31. Требования к технической эксплуатации и техническому </w:t>
      </w:r>
      <w:bookmarkEnd w:id="81"/>
      <w:r>
        <w:rPr>
          <w:rFonts w:hint="default"/>
        </w:rPr>
        <w:t>обс</w:t>
      </w:r>
      <w:r>
        <w:rPr>
          <w:rFonts w:hint="default"/>
        </w:rPr>
        <w:t>луживанию объекта: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bookmarkStart w:id="82" w:name="sub_1032"/>
            <w:r>
              <w:rPr>
                <w:rFonts w:hint="default"/>
              </w:rPr>
              <w:t>В объеме разделов проектной документации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32. Требования к проекту организации строительства объекта: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bookmarkStart w:id="83" w:name="sub_1033"/>
            <w:bookmarkEnd w:id="82"/>
            <w:r>
              <w:rPr>
                <w:rFonts w:hint="default"/>
                <w:b/>
              </w:rPr>
              <w:t>согласно акта осмотра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r>
        <w:rPr>
          <w:rFonts w:hint="default"/>
        </w:rPr>
        <w:t xml:space="preserve">33. Обоснование необходимости сноса или сохранения зданий, </w:t>
      </w:r>
      <w:bookmarkEnd w:id="83"/>
      <w:r>
        <w:rPr>
          <w:rFonts w:hint="default"/>
        </w:rPr>
        <w:t>сооружений, зеленых насаждений, а также переноса инже</w:t>
      </w:r>
      <w:r>
        <w:rPr>
          <w:rFonts w:hint="default"/>
        </w:rPr>
        <w:t>нерных сетей и коммуникаций, расположенных на земельном участке, на котором планируется размещение объекта: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bookmarkStart w:id="84" w:name="sub_1034"/>
            <w:r>
              <w:rPr>
                <w:rFonts w:hint="default"/>
              </w:rPr>
              <w:t>-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r>
        <w:rPr>
          <w:rFonts w:hint="default"/>
        </w:rPr>
        <w:t xml:space="preserve">34. Требования к решениям по благоустройству прилегающей территории, </w:t>
      </w:r>
      <w:bookmarkEnd w:id="84"/>
      <w:r>
        <w:rPr>
          <w:rFonts w:hint="default"/>
        </w:rPr>
        <w:t xml:space="preserve">к малым архитектурным формам и к планировочной организации земельного </w:t>
      </w:r>
      <w:r>
        <w:rPr>
          <w:rFonts w:hint="default"/>
        </w:rPr>
        <w:t>участка, на котором планируется размещение объекта: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При необходимости предусмотреть планировку и благоустройство примыкающей территории (</w:t>
            </w:r>
            <w:r>
              <w:rPr>
                <w:rFonts w:hint="default"/>
                <w:b/>
              </w:rPr>
              <w:t>предусмотреть восстановление покрытий, прилегающих к зоне работ</w:t>
            </w:r>
            <w:r>
              <w:rPr>
                <w:rFonts w:hint="default"/>
              </w:rPr>
              <w:t>)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(указываются решения по благоустройству, озеленению т</w:t>
            </w:r>
            <w:r>
              <w:rPr>
                <w:rFonts w:hint="default"/>
                <w:sz w:val="14"/>
                <w:szCs w:val="14"/>
              </w:rPr>
              <w:t>ерритории объекта, обустройству площадок и малых архитектурных форм</w:t>
            </w:r>
            <w:r>
              <w:rPr>
                <w:rFonts w:hint="default"/>
                <w:sz w:val="14"/>
                <w:szCs w:val="14"/>
              </w:rPr>
              <w:br/>
              <w:t>в соответствии с утвержденной документацией по планировке территории, согласованными эскизами организации земельного участка</w:t>
            </w:r>
            <w:r>
              <w:rPr>
                <w:rFonts w:hint="default"/>
                <w:sz w:val="14"/>
                <w:szCs w:val="14"/>
              </w:rPr>
              <w:br/>
              <w:t>объекта и его благоустройства и озеленения)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bookmarkStart w:id="85" w:name="sub_1035"/>
      <w:r>
        <w:rPr>
          <w:rFonts w:hint="default"/>
        </w:rPr>
        <w:t>35. Требования к р</w:t>
      </w:r>
      <w:r>
        <w:rPr>
          <w:rFonts w:hint="default"/>
        </w:rPr>
        <w:t xml:space="preserve">азработке проекта восстановления (рекультивации) </w:t>
      </w:r>
      <w:bookmarkEnd w:id="85"/>
      <w:r>
        <w:rPr>
          <w:rFonts w:hint="default"/>
        </w:rPr>
        <w:t>нарушенных земель или плодородного слоя: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При необходимости предусмотреть планировку и благоустройство примыкающей территории </w:t>
            </w:r>
            <w:r>
              <w:rPr>
                <w:rFonts w:hint="default"/>
                <w:b/>
              </w:rPr>
              <w:t>(предусмотреть восстановление покрытий, прилегающих к зоне работ)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(указываются пр</w:t>
            </w:r>
            <w:r>
              <w:rPr>
                <w:rFonts w:hint="default"/>
                <w:sz w:val="14"/>
                <w:szCs w:val="14"/>
              </w:rPr>
              <w:t>и необходимости)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bookmarkStart w:id="86" w:name="sub_1036"/>
      <w:r>
        <w:rPr>
          <w:rFonts w:hint="default"/>
        </w:rPr>
        <w:t xml:space="preserve">36. Требования к местам складирования излишков грунта и (или) мусора </w:t>
      </w:r>
      <w:bookmarkEnd w:id="86"/>
      <w:r>
        <w:rPr>
          <w:rFonts w:hint="default"/>
        </w:rPr>
        <w:t>при строительстве и</w:t>
      </w:r>
      <w:r>
        <w:rPr>
          <w:rFonts w:hint="default"/>
          <w:lang w:val="en-US"/>
        </w:rPr>
        <w:t> </w:t>
      </w:r>
      <w:r>
        <w:rPr>
          <w:rFonts w:hint="default"/>
        </w:rPr>
        <w:t>протяженность маршрута их доставки: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int="default"/>
                <w:b/>
                <w:sz w:val="24"/>
                <w:szCs w:val="24"/>
              </w:rPr>
            </w:pPr>
            <w:r>
              <w:rPr>
                <w:rFonts w:ascii="Times New Roman" w:hAnsi="Times New Roman" w:hint="default"/>
                <w:b/>
                <w:sz w:val="24"/>
                <w:szCs w:val="24"/>
              </w:rPr>
              <w:t xml:space="preserve">Вывоз мусора предусмотреть на полигон ТБО. Справку о расположении полигона ТБО предоставляет Заказчик. </w:t>
            </w:r>
          </w:p>
          <w:p w:rsidR="00E03295" w:rsidRDefault="00E03295">
            <w:pPr>
              <w:adjustRightInd w:val="0"/>
              <w:jc w:val="center"/>
              <w:rPr>
                <w:rFonts w:hint="default"/>
                <w:b/>
              </w:rPr>
            </w:pP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(указываются при необходимости с учетом требований правовых актов органов местного самоуправления)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bookmarkStart w:id="87" w:name="sub_1037"/>
      <w:r>
        <w:rPr>
          <w:rFonts w:hint="default"/>
        </w:rPr>
        <w:t xml:space="preserve">37. Требования к выполнению научно-исследовательских и </w:t>
      </w:r>
      <w:bookmarkEnd w:id="87"/>
      <w:r>
        <w:rPr>
          <w:rFonts w:hint="default"/>
        </w:rPr>
        <w:t>опытно-конструкторских работ в</w:t>
      </w:r>
      <w:r>
        <w:rPr>
          <w:rFonts w:hint="default"/>
          <w:lang w:val="en-US"/>
        </w:rPr>
        <w:t> </w:t>
      </w:r>
      <w:r>
        <w:rPr>
          <w:rFonts w:hint="default"/>
        </w:rPr>
        <w:t>процессе проектирования и строительства объекта: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lastRenderedPageBreak/>
              <w:t>не требуется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</w:t>
            </w:r>
            <w:r>
              <w:rPr>
                <w:rFonts w:hint="default"/>
                <w:sz w:val="14"/>
                <w:szCs w:val="14"/>
              </w:rPr>
              <w:t>аются в случае необходимости выполнения научно-исследовательских и опытно-конструкторских работ при проектировании и строительстве объекта)</w:t>
            </w:r>
          </w:p>
        </w:tc>
      </w:tr>
    </w:tbl>
    <w:p w:rsidR="00E03295" w:rsidRDefault="00E03295">
      <w:pPr>
        <w:rPr>
          <w:rFonts w:hint="default"/>
        </w:rPr>
      </w:pPr>
    </w:p>
    <w:p w:rsidR="00E03295" w:rsidRDefault="00E03295">
      <w:pPr>
        <w:rPr>
          <w:rFonts w:hint="default"/>
        </w:rPr>
      </w:pPr>
    </w:p>
    <w:p w:rsidR="00E03295" w:rsidRDefault="00A85C56">
      <w:pPr>
        <w:jc w:val="center"/>
        <w:rPr>
          <w:rFonts w:hint="default"/>
          <w:b/>
        </w:rPr>
      </w:pPr>
      <w:bookmarkStart w:id="88" w:name="sub_1300"/>
      <w:r>
        <w:rPr>
          <w:rFonts w:hint="default"/>
          <w:b/>
        </w:rPr>
        <w:t>III. Иные требования к проектированию</w:t>
      </w:r>
    </w:p>
    <w:bookmarkEnd w:id="88"/>
    <w:p w:rsidR="00E03295" w:rsidRDefault="00E03295">
      <w:pPr>
        <w:rPr>
          <w:rFonts w:hint="default"/>
        </w:rPr>
      </w:pPr>
    </w:p>
    <w:p w:rsidR="00E03295" w:rsidRDefault="00A85C56">
      <w:pPr>
        <w:ind w:firstLine="567"/>
        <w:jc w:val="both"/>
        <w:rPr>
          <w:rFonts w:hint="default"/>
        </w:rPr>
      </w:pPr>
      <w:bookmarkStart w:id="89" w:name="sub_1038"/>
      <w:r>
        <w:rPr>
          <w:rFonts w:hint="default"/>
        </w:rPr>
        <w:t xml:space="preserve">38. Требования к составу проектной документации, в том числе </w:t>
      </w:r>
      <w:bookmarkEnd w:id="89"/>
      <w:r>
        <w:rPr>
          <w:rFonts w:hint="default"/>
        </w:rPr>
        <w:t xml:space="preserve">требования о </w:t>
      </w:r>
      <w:r>
        <w:rPr>
          <w:rFonts w:hint="default"/>
        </w:rPr>
        <w:t>разработке разделов проектной документации, наличие которых не является обязательным: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В соответствии с Постановлением Правительства Российской Федерации от 16 февраля 2008 г. № 87 «О составе разделов проектной документации и требованиях к их содержанию» пр</w:t>
            </w:r>
            <w:r>
              <w:rPr>
                <w:rFonts w:hint="default"/>
              </w:rPr>
              <w:t xml:space="preserve">оектная документация на объекты капитального строительства производственного и непроизводственного назначения состоит из 12 разделов, из них требуется: </w:t>
            </w:r>
          </w:p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 xml:space="preserve">Раздел 1 «Пояснительная записка». </w:t>
            </w:r>
          </w:p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 xml:space="preserve">Раздел 3 «Архитектурные решения». </w:t>
            </w:r>
          </w:p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Раздел 4 «Конструктивные и объемн</w:t>
            </w:r>
            <w:r>
              <w:rPr>
                <w:rFonts w:hint="default"/>
              </w:rPr>
              <w:t xml:space="preserve">о-планировочные решения». </w:t>
            </w:r>
          </w:p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 xml:space="preserve"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решений»: </w:t>
            </w:r>
          </w:p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Раздел 6 «Проект организации строительства»</w:t>
            </w:r>
          </w:p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 xml:space="preserve">Раздел 9 </w:t>
            </w:r>
            <w:r>
              <w:rPr>
                <w:rFonts w:hint="default"/>
              </w:rPr>
              <w:t>«Мероприятия по обеспечению пожарной безопасности».</w:t>
            </w:r>
          </w:p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Раздел 10 «Мероприятия по обеспечению доступа инвалидов».</w:t>
            </w:r>
          </w:p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Раздел 11 «Смета на строительство объектов капитального строительства».</w:t>
            </w:r>
          </w:p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Раздел 12 «Иная документация в случаях, предусмотренных федеральными закон</w:t>
            </w:r>
            <w:r>
              <w:rPr>
                <w:rFonts w:hint="default"/>
              </w:rPr>
              <w:t>ами».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(указываются в соответствии с постановлением Правительства Российской Федерации от 16 февраля 2008 года № 87 «О составе разделов проектной документации</w:t>
            </w:r>
            <w:r>
              <w:rPr>
                <w:rFonts w:hint="default"/>
                <w:sz w:val="14"/>
                <w:szCs w:val="14"/>
              </w:rPr>
              <w:br/>
              <w:t>и требованиях к их содержанию» (Собрание законодательства Российской Федерации, 2008, № 8, ст. 74</w:t>
            </w:r>
            <w:r>
              <w:rPr>
                <w:rFonts w:hint="default"/>
                <w:sz w:val="14"/>
                <w:szCs w:val="14"/>
              </w:rPr>
              <w:t>4; 2010, № 16, ст. 1920; № 51, ст. 6937; 2013, № 17,</w:t>
            </w:r>
            <w:r>
              <w:rPr>
                <w:rFonts w:hint="default"/>
                <w:sz w:val="14"/>
                <w:szCs w:val="14"/>
              </w:rPr>
              <w:br/>
              <w:t>ст. 2174; 2014, № 14, ст. 1627; № 50, ст. 7125; 2015, № 45, ст. 6245; 2017, № 29, ст. 4368) с учетом функционального назначения объекта)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90" w:name="sub_1039"/>
      <w:r>
        <w:rPr>
          <w:rFonts w:hint="default"/>
        </w:rPr>
        <w:t>39. Требования к подготовке сметной документации: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90"/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 xml:space="preserve">Сметную </w:t>
            </w:r>
            <w:r>
              <w:rPr>
                <w:rFonts w:hint="default"/>
              </w:rPr>
              <w:t>документацию выполнить в двух уровнях цен:</w:t>
            </w:r>
          </w:p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-</w:t>
            </w:r>
            <w:r>
              <w:rPr>
                <w:rFonts w:hint="default"/>
              </w:rPr>
              <w:tab/>
              <w:t>в базовых ценах 2001 года;</w:t>
            </w:r>
          </w:p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-</w:t>
            </w:r>
            <w:r>
              <w:rPr>
                <w:rFonts w:hint="default"/>
              </w:rPr>
              <w:tab/>
              <w:t>в текущих ценах на момент выпуска сметной документации.</w:t>
            </w:r>
          </w:p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 xml:space="preserve">Формирование сметной стоимости строительства осуществлять согласно нормативам, регламентируемым Министерством строительства и </w:t>
            </w:r>
            <w:r>
              <w:rPr>
                <w:rFonts w:hint="default"/>
              </w:rPr>
              <w:t>жилищно-коммунального хозяйства Российской Федерации на момент разработки проектно-сметной документации.</w:t>
            </w:r>
          </w:p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В составе сметной документации предусмотреть следующие затраты на:</w:t>
            </w:r>
          </w:p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-</w:t>
            </w:r>
            <w:r>
              <w:rPr>
                <w:rFonts w:hint="default"/>
              </w:rPr>
              <w:tab/>
              <w:t>пусконаладочные работы по инженерным сетям и оборудованию;</w:t>
            </w:r>
          </w:p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-</w:t>
            </w:r>
            <w:r>
              <w:rPr>
                <w:rFonts w:hint="default"/>
              </w:rPr>
              <w:tab/>
              <w:t>накладные расходы;</w:t>
            </w:r>
          </w:p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-</w:t>
            </w:r>
            <w:r>
              <w:rPr>
                <w:rFonts w:hint="default"/>
              </w:rPr>
              <w:tab/>
            </w:r>
            <w:r>
              <w:rPr>
                <w:rFonts w:hint="default"/>
              </w:rPr>
              <w:t>сметную прибыть;</w:t>
            </w:r>
          </w:p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-</w:t>
            </w:r>
            <w:r>
              <w:rPr>
                <w:rFonts w:hint="default"/>
              </w:rPr>
              <w:tab/>
              <w:t>непредвиденные расходы 2%;</w:t>
            </w:r>
          </w:p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-</w:t>
            </w:r>
            <w:r>
              <w:rPr>
                <w:rFonts w:hint="default"/>
              </w:rPr>
              <w:tab/>
              <w:t>авторский надзор;</w:t>
            </w:r>
          </w:p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-</w:t>
            </w:r>
            <w:r>
              <w:rPr>
                <w:rFonts w:hint="default"/>
              </w:rPr>
              <w:tab/>
              <w:t>осуществление строительного контроля;</w:t>
            </w:r>
          </w:p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-</w:t>
            </w:r>
            <w:r>
              <w:rPr>
                <w:rFonts w:hint="default"/>
              </w:rPr>
              <w:tab/>
              <w:t>проведение Государственной экспертизы по проверке достоверности определения сметной стоимости;</w:t>
            </w:r>
          </w:p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-</w:t>
            </w:r>
            <w:r>
              <w:rPr>
                <w:rFonts w:hint="default"/>
              </w:rPr>
              <w:tab/>
              <w:t>компенсацию за снос зеленых насаждений, стоимость с</w:t>
            </w:r>
            <w:r>
              <w:rPr>
                <w:rFonts w:hint="default"/>
              </w:rPr>
              <w:t>носа и утилизации (при необходимости);</w:t>
            </w:r>
          </w:p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Стоимость материалов и оборудования, отсутствующих в сметно-нормативной базе 2001г., подтвердить текущей стоимостью с учетом транспортных расходов. Представить сопоставительный анализ стоимости материалов со стоимость</w:t>
            </w:r>
            <w:r>
              <w:rPr>
                <w:rFonts w:hint="default"/>
              </w:rPr>
              <w:t>ю производителя (поставщика), согласованный Заказчиком. В базисных ценах стоимость определить обратной индексацией. Цены на материалы и оборудование указать в рублях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 xml:space="preserve">(указываются требования к подготовке сметной документации, в том числе метод определения </w:t>
            </w:r>
            <w:r>
              <w:rPr>
                <w:rFonts w:hint="default"/>
                <w:sz w:val="14"/>
                <w:szCs w:val="14"/>
              </w:rPr>
              <w:t>сметной стоимости строительства)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91" w:name="sub_1040"/>
      <w:r>
        <w:rPr>
          <w:rFonts w:hint="default"/>
        </w:rPr>
        <w:t>40. Требования к разработке специальных технических условий: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91"/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(указываются в случаях, когда разработка и применение специальных технических условий допускается Федеральным законом</w:t>
            </w:r>
            <w:r>
              <w:rPr>
                <w:rFonts w:hint="default"/>
                <w:sz w:val="14"/>
                <w:szCs w:val="14"/>
              </w:rPr>
              <w:br/>
              <w:t>от 30 декабря 2009 г. № 384-ФЗ «Техничес</w:t>
            </w:r>
            <w:r>
              <w:rPr>
                <w:rFonts w:hint="default"/>
                <w:sz w:val="14"/>
                <w:szCs w:val="14"/>
              </w:rPr>
              <w:t>кий регламент о безопасности зданий и сооружений» и постановлением</w:t>
            </w:r>
            <w:r>
              <w:rPr>
                <w:rFonts w:hint="default"/>
                <w:sz w:val="14"/>
                <w:szCs w:val="14"/>
              </w:rPr>
              <w:br/>
              <w:t>Правительства Российской Федерации от 16 февраля 2008 г. № 87 «О составе разделов проектной документации и требованиях к их содержанию»)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bookmarkStart w:id="92" w:name="sub_1041"/>
      <w:r>
        <w:rPr>
          <w:rFonts w:hint="default"/>
        </w:rPr>
        <w:t>41. Требования о применении при разработке проектно</w:t>
      </w:r>
      <w:r>
        <w:rPr>
          <w:rFonts w:hint="default"/>
        </w:rPr>
        <w:t xml:space="preserve">й документации </w:t>
      </w:r>
      <w:bookmarkEnd w:id="92"/>
      <w:r>
        <w:rPr>
          <w:rFonts w:hint="default"/>
        </w:rPr>
        <w:t>документов в области стандартизации, не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</w:t>
      </w:r>
      <w:r>
        <w:rPr>
          <w:rFonts w:hint="default"/>
        </w:rPr>
        <w:t xml:space="preserve">рального закона «Технический регламент о безопасности зданий и сооружений», утвержденный постановлением Правительства Российской </w:t>
      </w:r>
      <w:r>
        <w:rPr>
          <w:rFonts w:hint="default"/>
        </w:rPr>
        <w:lastRenderedPageBreak/>
        <w:t>Федерации от 26 декабря 2014 года № 1521 «Об утверждении перечня национальных стандартов и сводов правил (частей таких стандарт</w:t>
      </w:r>
      <w:r>
        <w:rPr>
          <w:rFonts w:hint="default"/>
        </w:rPr>
        <w:t>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</w:t>
      </w:r>
      <w:r>
        <w:rPr>
          <w:rFonts w:hint="default"/>
          <w:lang w:val="en-US"/>
        </w:rPr>
        <w:t> </w:t>
      </w:r>
      <w:r>
        <w:rPr>
          <w:rFonts w:hint="default"/>
        </w:rPr>
        <w:t>безопасности зданий и сооружений» (Собрание законодательства Российской Федерации, 2015, № 2, ст. </w:t>
      </w:r>
      <w:r>
        <w:rPr>
          <w:rFonts w:hint="default"/>
        </w:rPr>
        <w:t>465; № 40, ст. 5568; 2016 № 50, ст. 7122):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bookmarkStart w:id="93" w:name="sub_1042"/>
            <w:r>
              <w:rPr>
                <w:rFonts w:hint="default"/>
              </w:rPr>
              <w:t>-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r>
        <w:rPr>
          <w:rFonts w:hint="default"/>
        </w:rPr>
        <w:t>42. Требования к выполнению демонстрационных материалов, макетов: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bookmarkEnd w:id="93"/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(указываются в случае принятия застройщиком (техническим заказчиком) решения о выполнении демонстрационных материалов, макетов)</w:t>
            </w:r>
          </w:p>
        </w:tc>
      </w:tr>
    </w:tbl>
    <w:p w:rsidR="00E03295" w:rsidRDefault="00A85C56">
      <w:pPr>
        <w:ind w:firstLine="567"/>
        <w:rPr>
          <w:rFonts w:hint="default"/>
        </w:rPr>
      </w:pPr>
      <w:bookmarkStart w:id="94" w:name="sub_1043"/>
      <w:r>
        <w:rPr>
          <w:rFonts w:hint="default"/>
        </w:rPr>
        <w:t xml:space="preserve">43. </w:t>
      </w:r>
      <w:r>
        <w:rPr>
          <w:rFonts w:hint="default"/>
        </w:rPr>
        <w:t>Требования о применении технологий информационного</w:t>
      </w:r>
      <w:bookmarkEnd w:id="94"/>
      <w:r>
        <w:rPr>
          <w:rFonts w:hint="default"/>
        </w:rPr>
        <w:t xml:space="preserve"> моделирования: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(указываются в случае принятия застройщиком (техническим заказчиком) решения о применении технологий информационного моделирования)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bookmarkStart w:id="95" w:name="sub_1044"/>
      <w:r>
        <w:rPr>
          <w:rFonts w:hint="default"/>
        </w:rPr>
        <w:t>44. Требование о применении экономически эффективной п</w:t>
      </w:r>
      <w:r>
        <w:rPr>
          <w:rFonts w:hint="default"/>
        </w:rPr>
        <w:t xml:space="preserve">роектной </w:t>
      </w:r>
      <w:bookmarkEnd w:id="95"/>
      <w:r>
        <w:rPr>
          <w:rFonts w:hint="default"/>
        </w:rPr>
        <w:t>документации повторного использования: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</w:tr>
      <w:tr w:rsidR="00E03295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(указывается требование о подготовке проектной документации с использованием экономически эффективной проектной документации</w:t>
            </w:r>
            <w:r>
              <w:rPr>
                <w:rFonts w:hint="default"/>
                <w:sz w:val="14"/>
                <w:szCs w:val="14"/>
              </w:rPr>
              <w:br/>
              <w:t>повторного использования объекта капитального строительства, аналогичного по наз</w:t>
            </w:r>
            <w:r>
              <w:rPr>
                <w:rFonts w:hint="default"/>
                <w:sz w:val="14"/>
                <w:szCs w:val="14"/>
              </w:rPr>
              <w:t>начению, проектной мощности, природным</w:t>
            </w:r>
            <w:r>
              <w:rPr>
                <w:rFonts w:hint="default"/>
                <w:sz w:val="14"/>
                <w:szCs w:val="14"/>
              </w:rPr>
              <w:br/>
              <w:t>и иным условиям территории, на которой планируется осуществлять строительство, а при отсутствии такой проектной документации —</w:t>
            </w:r>
            <w:r>
              <w:rPr>
                <w:rFonts w:hint="default"/>
                <w:sz w:val="14"/>
                <w:szCs w:val="14"/>
              </w:rPr>
              <w:br/>
              <w:t>с учетом критериев экономической эффективности проектной документации)</w:t>
            </w:r>
          </w:p>
        </w:tc>
      </w:tr>
    </w:tbl>
    <w:p w:rsidR="00E03295" w:rsidRDefault="00A85C56">
      <w:pPr>
        <w:ind w:firstLine="567"/>
        <w:jc w:val="both"/>
        <w:rPr>
          <w:rFonts w:hint="default"/>
        </w:rPr>
      </w:pPr>
      <w:bookmarkStart w:id="96" w:name="sub_1045"/>
      <w:r>
        <w:rPr>
          <w:rFonts w:hint="default"/>
        </w:rPr>
        <w:t xml:space="preserve">45. Прочие дополнительные требования и указания, конкретизирующие </w:t>
      </w:r>
      <w:bookmarkEnd w:id="96"/>
      <w:r>
        <w:rPr>
          <w:rFonts w:hint="default"/>
        </w:rPr>
        <w:t>объем проектных работ: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1"/>
      </w:tblGrid>
      <w:tr w:rsidR="00E03295">
        <w:trPr>
          <w:trHeight w:val="284"/>
        </w:trPr>
        <w:tc>
          <w:tcPr>
            <w:tcW w:w="101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rPr>
                <w:rFonts w:hint="default"/>
                <w:b/>
              </w:rPr>
            </w:pPr>
            <w:bookmarkStart w:id="97" w:name="sub_1046"/>
            <w:r>
              <w:rPr>
                <w:rFonts w:hint="default"/>
              </w:rPr>
              <w:t xml:space="preserve">            </w:t>
            </w:r>
            <w:r>
              <w:rPr>
                <w:rFonts w:hint="default"/>
                <w:b/>
              </w:rPr>
              <w:t xml:space="preserve">Подрядчик передает Заказчику результаты проектных работ после проверки достоверности определения сметной стоимости строительства в следующем формате и количестве: </w:t>
            </w:r>
          </w:p>
          <w:p w:rsidR="00E03295" w:rsidRDefault="00A85C56">
            <w:pPr>
              <w:pStyle w:val="a4"/>
              <w:spacing w:after="0" w:line="240" w:lineRule="auto"/>
              <w:ind w:left="0" w:firstLine="709"/>
              <w:jc w:val="both"/>
              <w:rPr>
                <w:rFonts w:hint="default"/>
              </w:rPr>
            </w:pPr>
            <w:r>
              <w:rPr>
                <w:rFonts w:hint="default"/>
              </w:rPr>
              <w:t>-</w:t>
            </w:r>
            <w:r>
              <w:rPr>
                <w:rFonts w:hint="default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default"/>
                <w:b/>
                <w:sz w:val="24"/>
                <w:szCs w:val="24"/>
              </w:rPr>
              <w:t>разделы рабочей документации на капитальный ремонт и смету в 4-х экз., акт осмотра зданий,</w:t>
            </w:r>
            <w:r>
              <w:rPr>
                <w:rFonts w:ascii="Times New Roman" w:hAnsi="Times New Roman" w:hint="default"/>
                <w:b/>
                <w:sz w:val="24"/>
                <w:szCs w:val="24"/>
              </w:rPr>
              <w:t xml:space="preserve"> систем и сетей их инженерно-технического обеспечения в 2-х экз.;  </w:t>
            </w:r>
          </w:p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 xml:space="preserve">            </w:t>
            </w:r>
            <w:r>
              <w:rPr>
                <w:rFonts w:hint="default"/>
                <w:b/>
              </w:rPr>
              <w:t>- 1 комплект рабочей документации на USB-</w:t>
            </w:r>
            <w:proofErr w:type="spellStart"/>
            <w:r>
              <w:rPr>
                <w:rFonts w:hint="default"/>
                <w:b/>
              </w:rPr>
              <w:t>флеш</w:t>
            </w:r>
            <w:proofErr w:type="spellEnd"/>
            <w:r>
              <w:rPr>
                <w:rFonts w:hint="default"/>
                <w:b/>
              </w:rPr>
              <w:t>-</w:t>
            </w:r>
            <w:proofErr w:type="spellStart"/>
            <w:r>
              <w:rPr>
                <w:rFonts w:hint="default"/>
                <w:b/>
              </w:rPr>
              <w:t>накопитиле</w:t>
            </w:r>
            <w:proofErr w:type="spellEnd"/>
            <w:r>
              <w:rPr>
                <w:rFonts w:hint="default"/>
                <w:b/>
              </w:rPr>
              <w:t>.</w:t>
            </w:r>
          </w:p>
        </w:tc>
      </w:tr>
      <w:tr w:rsidR="00E03295">
        <w:trPr>
          <w:trHeight w:val="56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E03295">
            <w:pPr>
              <w:adjustRightInd w:val="0"/>
              <w:rPr>
                <w:rFonts w:hint="default"/>
              </w:rPr>
            </w:pPr>
          </w:p>
        </w:tc>
      </w:tr>
    </w:tbl>
    <w:p w:rsidR="00E03295" w:rsidRDefault="00A85C56">
      <w:pPr>
        <w:rPr>
          <w:rFonts w:hint="default"/>
        </w:rPr>
      </w:pPr>
      <w:r>
        <w:rPr>
          <w:rFonts w:hint="default"/>
        </w:rPr>
        <w:t xml:space="preserve">46. К </w:t>
      </w:r>
      <w:r>
        <w:rPr>
          <w:rFonts w:hint="default"/>
        </w:rPr>
        <w:t>описанию объекта закупки</w:t>
      </w:r>
      <w:r>
        <w:rPr>
          <w:rFonts w:hint="default"/>
        </w:rPr>
        <w:t xml:space="preserve"> прилагаются:</w:t>
      </w:r>
    </w:p>
    <w:bookmarkEnd w:id="97"/>
    <w:p w:rsidR="00E03295" w:rsidRDefault="00A85C56">
      <w:pPr>
        <w:rPr>
          <w:rFonts w:hint="default"/>
          <w:b/>
        </w:rPr>
      </w:pPr>
      <w:r>
        <w:rPr>
          <w:rFonts w:hint="default"/>
          <w:b/>
        </w:rPr>
        <w:t>- технический паспорт</w:t>
      </w:r>
    </w:p>
    <w:p w:rsidR="00E03295" w:rsidRDefault="00E03295">
      <w:pPr>
        <w:rPr>
          <w:rFonts w:hint="default"/>
          <w:b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2"/>
        <w:gridCol w:w="84"/>
        <w:gridCol w:w="1427"/>
        <w:gridCol w:w="84"/>
        <w:gridCol w:w="3514"/>
      </w:tblGrid>
      <w:tr w:rsidR="00E03295">
        <w:trPr>
          <w:trHeight w:val="284"/>
        </w:trPr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E03295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E03295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E03295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E03295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E03295">
            <w:pPr>
              <w:adjustRightInd w:val="0"/>
              <w:jc w:val="center"/>
              <w:rPr>
                <w:rFonts w:hint="default"/>
              </w:rPr>
            </w:pPr>
          </w:p>
        </w:tc>
      </w:tr>
      <w:tr w:rsidR="00E03295">
        <w:tc>
          <w:tcPr>
            <w:tcW w:w="5082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 xml:space="preserve">(должность уполномоченного лица </w:t>
            </w:r>
            <w:r>
              <w:rPr>
                <w:rFonts w:hint="default"/>
                <w:sz w:val="14"/>
                <w:szCs w:val="14"/>
              </w:rPr>
              <w:t>застройщика (технического заказчика),</w:t>
            </w:r>
            <w:r>
              <w:rPr>
                <w:rFonts w:hint="default"/>
                <w:sz w:val="14"/>
                <w:szCs w:val="14"/>
              </w:rPr>
              <w:br/>
              <w:t>осуществляющего подготовку задания на проектирование)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03295" w:rsidRDefault="00E03295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(подпись)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03295" w:rsidRDefault="00E03295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E03295" w:rsidRDefault="00A85C56">
            <w:pPr>
              <w:adjustRightInd w:val="0"/>
              <w:jc w:val="center"/>
              <w:rPr>
                <w:rFonts w:hint="default"/>
                <w:sz w:val="14"/>
                <w:szCs w:val="14"/>
              </w:rPr>
            </w:pPr>
            <w:r>
              <w:rPr>
                <w:rFonts w:hint="default"/>
                <w:sz w:val="14"/>
                <w:szCs w:val="14"/>
              </w:rPr>
              <w:t>(расшифровка подписи)</w:t>
            </w:r>
          </w:p>
        </w:tc>
      </w:tr>
    </w:tbl>
    <w:p w:rsidR="00E03295" w:rsidRDefault="00E03295">
      <w:pPr>
        <w:rPr>
          <w:rFonts w:hint="default"/>
          <w:sz w:val="2"/>
          <w:szCs w:val="2"/>
        </w:rPr>
      </w:pPr>
    </w:p>
    <w:tbl>
      <w:tblPr>
        <w:tblW w:w="4214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546"/>
        <w:gridCol w:w="238"/>
        <w:gridCol w:w="2142"/>
        <w:gridCol w:w="378"/>
        <w:gridCol w:w="406"/>
        <w:gridCol w:w="308"/>
      </w:tblGrid>
      <w:tr w:rsidR="00E03295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E03295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»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E03295">
            <w:pPr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E03295" w:rsidRDefault="00E03295">
            <w:pPr>
              <w:adjustRightInd w:val="0"/>
              <w:rPr>
                <w:rFonts w:hint="default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E03295" w:rsidRDefault="00A85C56">
            <w:pPr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 xml:space="preserve"> г.</w:t>
            </w:r>
          </w:p>
        </w:tc>
      </w:tr>
    </w:tbl>
    <w:p w:rsidR="00E03295" w:rsidRDefault="00E03295">
      <w:pPr>
        <w:rPr>
          <w:rFonts w:hint="default"/>
        </w:rPr>
      </w:pPr>
    </w:p>
    <w:p w:rsidR="00E03295" w:rsidRDefault="00E03295">
      <w:pPr>
        <w:rPr>
          <w:rFonts w:hint="default"/>
        </w:rPr>
      </w:pPr>
    </w:p>
    <w:sectPr w:rsidR="00E03295">
      <w:headerReference w:type="default" r:id="rId6"/>
      <w:endnotePr>
        <w:numFmt w:val="decimal"/>
      </w:endnotePr>
      <w:pgSz w:w="11906" w:h="16838"/>
      <w:pgMar w:top="851" w:right="567" w:bottom="567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C56" w:rsidRDefault="00A85C56">
      <w:pPr>
        <w:rPr>
          <w:rFonts w:hint="default"/>
        </w:rPr>
      </w:pPr>
      <w:r>
        <w:separator/>
      </w:r>
    </w:p>
  </w:endnote>
  <w:endnote w:type="continuationSeparator" w:id="0">
    <w:p w:rsidR="00A85C56" w:rsidRDefault="00A85C5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C56" w:rsidRDefault="00A85C56">
      <w:pPr>
        <w:rPr>
          <w:rFonts w:hint="default"/>
        </w:rPr>
      </w:pPr>
      <w:r>
        <w:separator/>
      </w:r>
    </w:p>
  </w:footnote>
  <w:footnote w:type="continuationSeparator" w:id="0">
    <w:p w:rsidR="00A85C56" w:rsidRDefault="00A85C56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95" w:rsidRDefault="00A85C56">
    <w:pPr>
      <w:pStyle w:val="a3"/>
      <w:rPr>
        <w:rFonts w:ascii="Arial" w:cs="Arial" w:hint="default"/>
      </w:rPr>
    </w:pPr>
    <w:r>
      <w:rPr>
        <w:rFonts w:cs="Arial" w:hint="default"/>
        <w:sz w:val="12"/>
        <w:szCs w:val="12"/>
      </w:rPr>
      <w:t>Подготовлено</w:t>
    </w:r>
    <w:r>
      <w:rPr>
        <w:rFonts w:ascii="Arial" w:cs="Arial" w:hint="default"/>
        <w:sz w:val="12"/>
        <w:szCs w:val="12"/>
      </w:rPr>
      <w:t xml:space="preserve"> </w:t>
    </w:r>
    <w:r>
      <w:rPr>
        <w:rFonts w:cs="Arial" w:hint="default"/>
        <w:sz w:val="12"/>
        <w:szCs w:val="12"/>
      </w:rPr>
      <w:t>с</w:t>
    </w:r>
    <w:r>
      <w:rPr>
        <w:rFonts w:ascii="Arial" w:cs="Arial" w:hint="default"/>
        <w:sz w:val="12"/>
        <w:szCs w:val="12"/>
      </w:rPr>
      <w:t xml:space="preserve"> </w:t>
    </w:r>
    <w:r>
      <w:rPr>
        <w:rFonts w:cs="Arial" w:hint="default"/>
        <w:sz w:val="12"/>
        <w:szCs w:val="12"/>
      </w:rPr>
      <w:t>использованием</w:t>
    </w:r>
    <w:r>
      <w:rPr>
        <w:rFonts w:ascii="Arial" w:cs="Arial" w:hint="default"/>
        <w:sz w:val="12"/>
        <w:szCs w:val="12"/>
      </w:rPr>
      <w:t xml:space="preserve"> </w:t>
    </w:r>
    <w:r>
      <w:rPr>
        <w:rFonts w:cs="Arial" w:hint="default"/>
        <w:sz w:val="12"/>
        <w:szCs w:val="12"/>
      </w:rPr>
      <w:t>системы</w:t>
    </w:r>
    <w:r>
      <w:rPr>
        <w:rFonts w:ascii="Arial" w:cs="Arial" w:hint="default"/>
        <w:sz w:val="12"/>
        <w:szCs w:val="12"/>
      </w:rPr>
      <w:t xml:space="preserve"> </w:t>
    </w:r>
    <w:r>
      <w:rPr>
        <w:rFonts w:cs="Arial" w:hint="default"/>
        <w:sz w:val="12"/>
        <w:szCs w:val="12"/>
      </w:rPr>
      <w:t>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95"/>
    <w:rsid w:val="00A85C56"/>
    <w:rsid w:val="00A95784"/>
    <w:rsid w:val="00E03295"/>
    <w:rsid w:val="10556349"/>
    <w:rsid w:val="1E5F7655"/>
    <w:rsid w:val="5B107B98"/>
    <w:rsid w:val="64B9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3921B"/>
  <w15:docId w15:val="{4DB8AB4D-6866-4CB7-BB97-A03A2C55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nhideWhenUsed/>
    <w:qFormat/>
    <w:pPr>
      <w:autoSpaceDE w:val="0"/>
      <w:autoSpaceDN w:val="0"/>
    </w:pPr>
    <w:rPr>
      <w:rFonts w:ascii="Times New Roman" w:eastAsia="SimSun" w:hAnsi="Times New Roman" w:cs="Times New Roman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4">
    <w:name w:val="List Paragraph"/>
    <w:basedOn w:val="a"/>
    <w:autoRedefine/>
    <w:uiPriority w:val="34"/>
    <w:unhideWhenUsed/>
    <w:qFormat/>
    <w:pPr>
      <w:autoSpaceDE/>
      <w:autoSpaceDN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3844</Words>
  <Characters>21916</Characters>
  <Application>Microsoft Office Word</Application>
  <DocSecurity>0</DocSecurity>
  <Lines>182</Lines>
  <Paragraphs>51</Paragraphs>
  <ScaleCrop>false</ScaleCrop>
  <Company/>
  <LinksUpToDate>false</LinksUpToDate>
  <CharactersWithSpaces>25709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UsereXXX</dc:creator>
  <cp:lastModifiedBy>kogku3-11</cp:lastModifiedBy>
  <cp:revision>2</cp:revision>
  <dcterms:created xsi:type="dcterms:W3CDTF">2024-04-27T10:02:00Z</dcterms:created>
  <dcterms:modified xsi:type="dcterms:W3CDTF">2024-07-12T07:55:00Z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5C530038CD87444B8EBE3CDDF036FB34_12</vt:lpwstr>
  </property>
</Properties>
</file>