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17" w:rsidRPr="00345F00" w:rsidRDefault="00FF0317" w:rsidP="00FF031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ar-SA"/>
        </w:rPr>
      </w:pPr>
      <w:bookmarkStart w:id="0" w:name="_GoBack"/>
      <w:bookmarkEnd w:id="0"/>
      <w:r w:rsidRPr="00345F0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ar-SA"/>
        </w:rPr>
        <w:t>ТЕХНИЧЕСКОЕ ЗАДАНИЕ</w:t>
      </w:r>
    </w:p>
    <w:tbl>
      <w:tblPr>
        <w:tblW w:w="53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45"/>
        <w:gridCol w:w="7258"/>
      </w:tblGrid>
      <w:tr w:rsidR="00FF0317" w:rsidRPr="005E7E7B" w:rsidTr="0006382C">
        <w:trPr>
          <w:trHeight w:val="195"/>
        </w:trPr>
        <w:tc>
          <w:tcPr>
            <w:tcW w:w="331" w:type="pct"/>
            <w:shd w:val="clear" w:color="auto" w:fill="FFFFFF"/>
          </w:tcPr>
          <w:p w:rsidR="00FF0317" w:rsidRPr="005E7E7B" w:rsidRDefault="00FF0317" w:rsidP="0006382C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pct"/>
          </w:tcPr>
          <w:p w:rsidR="00FF0317" w:rsidRPr="005E7E7B" w:rsidRDefault="00FF0317" w:rsidP="0006382C">
            <w:pPr>
              <w:keepNext/>
              <w:tabs>
                <w:tab w:val="left" w:pos="28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7E7B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Требования к инженерным решениям</w:t>
            </w:r>
          </w:p>
        </w:tc>
        <w:tc>
          <w:tcPr>
            <w:tcW w:w="3529" w:type="pct"/>
            <w:vAlign w:val="center"/>
          </w:tcPr>
          <w:p w:rsidR="00FF0317" w:rsidRPr="00EE7342" w:rsidRDefault="00FF0317" w:rsidP="000638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E7342">
              <w:rPr>
                <w:rFonts w:ascii="Times New Roman" w:hAnsi="Times New Roman"/>
                <w:sz w:val="24"/>
                <w:szCs w:val="24"/>
              </w:rPr>
              <w:t xml:space="preserve"> целях обеспечения соблюдения в конструктивных решениях требований и определений, установленных нормативными и правовыми актами Российской Федерации, Московской области, муниципального образования Московской области, в том числе:</w:t>
            </w:r>
          </w:p>
          <w:p w:rsidR="00FF0317" w:rsidRPr="002704A3" w:rsidRDefault="00FF0317" w:rsidP="00FF0317">
            <w:pPr>
              <w:numPr>
                <w:ilvl w:val="0"/>
                <w:numId w:val="1"/>
              </w:numPr>
              <w:tabs>
                <w:tab w:val="left" w:pos="34"/>
                <w:tab w:val="left" w:pos="5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Правительства Российской Федерации от 26.12.2014 № 1521 (ред. от 07.12.2016)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FF0317" w:rsidRPr="00E1712B" w:rsidRDefault="00FF0317" w:rsidP="00FF03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53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bookmarkStart w:id="1" w:name="_Hlk85705740"/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СП 2.4.3648-20 </w:t>
            </w:r>
            <w:hyperlink r:id="rId6" w:anchor="6580IP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«</w:t>
              </w:r>
              <w:r w:rsidRPr="00E1712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Санитарно-эпидемиологические требования к организациям воспитания и обучения, отдыха и оздоровления детей и молодежи</w:t>
              </w:r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»</w:t>
              </w:r>
            </w:hyperlink>
            <w:bookmarkEnd w:id="1"/>
            <w:r w:rsidRPr="00E1712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;</w:t>
            </w:r>
          </w:p>
          <w:p w:rsidR="00FF0317" w:rsidRPr="002704A3" w:rsidRDefault="00FF0317" w:rsidP="00FF03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53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Российской Федерации от 23.11.2009 № 261-ФЗ (с изменениями и дополнениями)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F0317" w:rsidRPr="002704A3" w:rsidRDefault="00FF0317" w:rsidP="00FF03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53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Закона Московской области от 22.10.2009 № 121/2009-ОЗ (ред. от 16.12.2015)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области»;</w:t>
            </w:r>
          </w:p>
          <w:p w:rsidR="00FF0317" w:rsidRPr="00E42420" w:rsidRDefault="00FF0317" w:rsidP="00FF03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52"/>
                <w:tab w:val="left" w:pos="912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A5139">
              <w:rPr>
                <w:rFonts w:ascii="Times New Roman" w:hAnsi="Times New Roman"/>
                <w:sz w:val="24"/>
                <w:szCs w:val="24"/>
              </w:rPr>
              <w:t>Постановление Правительства Московской области от 27.03.2018 №195/12</w:t>
            </w:r>
            <w:proofErr w:type="gramStart"/>
            <w:r w:rsidRPr="00EA513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A5139">
              <w:rPr>
                <w:rFonts w:ascii="Times New Roman" w:hAnsi="Times New Roman"/>
                <w:sz w:val="24"/>
                <w:szCs w:val="24"/>
              </w:rPr>
              <w:t>б утверждении Плана мероприятий по созданию, развитию и эксплуатации системы технологического обеспечения региональной общественной безопасности и оперативного управления «Безопасный регион» и внесении изменений в 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</w:t>
            </w:r>
            <w:r w:rsidRPr="00EA5139">
              <w:rPr>
                <w:rFonts w:ascii="Times New Roman" w:hAnsi="Times New Roman" w:cs="Times New Roman"/>
                <w:sz w:val="24"/>
                <w:szCs w:val="24"/>
              </w:rPr>
              <w:t xml:space="preserve">сности и оперативного управления </w:t>
            </w:r>
            <w:r w:rsidRPr="00E42420">
              <w:rPr>
                <w:rFonts w:ascii="Times New Roman" w:hAnsi="Times New Roman" w:cs="Times New Roman"/>
                <w:sz w:val="24"/>
                <w:szCs w:val="24"/>
              </w:rPr>
              <w:t>«Безопасный регион»;</w:t>
            </w:r>
          </w:p>
          <w:p w:rsidR="00FF0317" w:rsidRPr="00E42420" w:rsidRDefault="00FF0317" w:rsidP="00FF03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52"/>
                <w:tab w:val="left" w:pos="912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E42420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государственного управления, информационных технологий и связи Московской области от 20.10.2020 №11-134/РВ «</w:t>
            </w:r>
            <w:r w:rsidRPr="00E4242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регион»;</w:t>
            </w:r>
            <w:proofErr w:type="gramEnd"/>
          </w:p>
          <w:p w:rsidR="00FF0317" w:rsidRPr="002704A3" w:rsidRDefault="00FF0317" w:rsidP="00FF0317">
            <w:pPr>
              <w:widowControl w:val="0"/>
              <w:numPr>
                <w:ilvl w:val="0"/>
                <w:numId w:val="1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420">
              <w:rPr>
                <w:rFonts w:ascii="Times New Roman" w:hAnsi="Times New Roman"/>
                <w:sz w:val="24"/>
                <w:szCs w:val="24"/>
              </w:rPr>
              <w:t>Распоряжения Минист</w:t>
            </w:r>
            <w:r w:rsidRPr="002704A3">
              <w:rPr>
                <w:rFonts w:ascii="Times New Roman" w:hAnsi="Times New Roman"/>
                <w:sz w:val="24"/>
                <w:szCs w:val="24"/>
              </w:rPr>
              <w:t>ерства государственного управления, информационных технологий и связи Московской области от 04.09.2015 №10-26/РВ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>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информации;</w:t>
            </w:r>
          </w:p>
          <w:p w:rsidR="00FF0317" w:rsidRPr="002704A3" w:rsidRDefault="00FF0317" w:rsidP="00FF0317">
            <w:pPr>
              <w:widowControl w:val="0"/>
              <w:numPr>
                <w:ilvl w:val="0"/>
                <w:numId w:val="1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Распоряжения Министерства государственного управления, информационных технологий и связи Московской области от 13.07.2017 №10-81/РВ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>б утверждении Положения о системе технологического обеспечения региональной общественной безопасности и оперативного управления "Безопасный регион".</w:t>
            </w:r>
          </w:p>
          <w:p w:rsidR="00FF0317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2704A3">
              <w:rPr>
                <w:rFonts w:ascii="Times New Roman" w:hAnsi="Times New Roman"/>
                <w:sz w:val="24"/>
                <w:szCs w:val="24"/>
              </w:rPr>
              <w:t>Разработать документацию по инженерным</w:t>
            </w:r>
            <w:r w:rsidRPr="00F50255">
              <w:rPr>
                <w:rFonts w:ascii="Times New Roman" w:hAnsi="Times New Roman"/>
                <w:sz w:val="24"/>
                <w:szCs w:val="24"/>
              </w:rPr>
              <w:t xml:space="preserve"> системам и оборудованию в соответствии с требованиями действующих норм и правил и техническими условиями на подключение к соответствующим инженерным сетям с оборудованием узлов учета.</w:t>
            </w:r>
          </w:p>
          <w:p w:rsidR="00FF0317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2633">
              <w:rPr>
                <w:rFonts w:ascii="Times New Roman" w:hAnsi="Times New Roman"/>
                <w:sz w:val="24"/>
                <w:szCs w:val="24"/>
              </w:rPr>
              <w:t>Все применяемые материалы, изделия, конструкции и оборудование, подлежащие сертификации в соответствии с</w:t>
            </w:r>
            <w:r w:rsidRPr="00132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32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РФ от 01.12.2009 N 982 (ред. от 26.09.2016)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      </w:r>
            <w:r w:rsidRPr="00132633">
              <w:rPr>
                <w:rFonts w:ascii="Times New Roman" w:hAnsi="Times New Roman"/>
                <w:sz w:val="24"/>
                <w:szCs w:val="24"/>
              </w:rPr>
              <w:t xml:space="preserve"> должны быть обеспечены сертификатами соответствия.</w:t>
            </w:r>
          </w:p>
          <w:p w:rsidR="00FF0317" w:rsidRPr="0013263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13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Исключить прокладку систем электроснабжения и сетей связи (слаботочные сети) в наружных коробах без визуального сокрытия внутри поверхности стен, потолков, полов. </w:t>
            </w:r>
          </w:p>
          <w:p w:rsidR="00FF0317" w:rsidRPr="0013263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132633">
              <w:rPr>
                <w:rFonts w:ascii="Times New Roman" w:hAnsi="Times New Roman"/>
                <w:sz w:val="24"/>
                <w:szCs w:val="24"/>
              </w:rPr>
              <w:t>Объект капитального строительства обеспечить следующими инженерными системами: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u w:val="single"/>
              </w:rPr>
            </w:pPr>
            <w:r w:rsidRPr="002704A3">
              <w:rPr>
                <w:u w:val="single"/>
              </w:rPr>
              <w:t xml:space="preserve">Приточно-вытяжная вентиляция 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приточно-вытяжную вентиляцию с механическим и естественным побуждением.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Количество приточных и вытяжных устрой</w:t>
            </w:r>
            <w:proofErr w:type="gramStart"/>
            <w:r w:rsidRPr="002704A3">
              <w:t>ств пр</w:t>
            </w:r>
            <w:proofErr w:type="gramEnd"/>
            <w:r w:rsidRPr="002704A3">
              <w:t>инять с учетом функционального назначения обслуживаемых помещений, режима работы, возможностей конструктивного исполнения.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Приточные установки расположить в технических помещениях подвальной части ОКС, вытяжные – в </w:t>
            </w:r>
            <w:proofErr w:type="spellStart"/>
            <w:r w:rsidRPr="002704A3">
              <w:t>венткамерах</w:t>
            </w:r>
            <w:proofErr w:type="spellEnd"/>
            <w:r w:rsidRPr="002704A3">
              <w:t xml:space="preserve"> в уровне верхних этажей ОКС.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proofErr w:type="spellStart"/>
            <w:r w:rsidRPr="002704A3">
              <w:t>Противодымную</w:t>
            </w:r>
            <w:proofErr w:type="spellEnd"/>
            <w:r w:rsidRPr="002704A3">
              <w:t xml:space="preserve"> вентиляцию следует предусматривать в соответствии с требованиями Федерального закона № 123-ФЗ «Технический регламент о требованиях пожарной безопасности», СП 7.13130.</w:t>
            </w:r>
          </w:p>
          <w:p w:rsidR="00FF0317" w:rsidRPr="002704A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Холодоснабжение</w:t>
            </w:r>
          </w:p>
          <w:p w:rsidR="00FF0317" w:rsidRPr="002704A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Принять холодоснабжение помещений сплит-системами с наружными и внутренними блоками с учетом функционального назначения помещений, режима работы, возможностей конструктивного исполнения.</w:t>
            </w:r>
          </w:p>
          <w:p w:rsidR="00FF0317" w:rsidRPr="002704A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Отопление и теплоснабжение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В качестве отопительных приборов предусмотреть секционные </w:t>
            </w:r>
            <w:proofErr w:type="spellStart"/>
            <w:r w:rsidRPr="002704A3">
              <w:t>термобезопасные</w:t>
            </w:r>
            <w:proofErr w:type="spellEnd"/>
            <w:r w:rsidRPr="002704A3">
              <w:t xml:space="preserve"> радиаторы или конвекторы.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Количество отопительных приборов, их установленную и расчетную мощности определить расчетом.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Приборы отопления оградить от случайного прикосновения защитными экранами.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u w:val="single"/>
              </w:rPr>
            </w:pPr>
            <w:r w:rsidRPr="002704A3">
              <w:rPr>
                <w:u w:val="single"/>
              </w:rPr>
              <w:t>Электроснабжение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Количество </w:t>
            </w:r>
            <w:proofErr w:type="spellStart"/>
            <w:r w:rsidRPr="002704A3">
              <w:t>электроприемников</w:t>
            </w:r>
            <w:proofErr w:type="spellEnd"/>
            <w:r w:rsidRPr="002704A3">
              <w:t xml:space="preserve">, их установленную и расчетную мощности принять в соответствии с расчетом и технологическим </w:t>
            </w:r>
            <w:r w:rsidRPr="002704A3">
              <w:lastRenderedPageBreak/>
              <w:t>заданием.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проектные решения по компенсации реактивной мощности, релейной защите, управлению, автоматизации и диспетчеризации системы электроснабжения, мероприятия по экономии электроэнергии, по заземлению (</w:t>
            </w:r>
            <w:proofErr w:type="spellStart"/>
            <w:r w:rsidRPr="002704A3">
              <w:t>занулению</w:t>
            </w:r>
            <w:proofErr w:type="spellEnd"/>
            <w:r w:rsidRPr="002704A3">
              <w:t xml:space="preserve">) и </w:t>
            </w:r>
            <w:proofErr w:type="spellStart"/>
            <w:r w:rsidRPr="002704A3">
              <w:t>молниезащите</w:t>
            </w:r>
            <w:proofErr w:type="spellEnd"/>
            <w:r w:rsidRPr="002704A3">
              <w:t>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highlight w:val="green"/>
              </w:rPr>
            </w:pPr>
            <w:r w:rsidRPr="002704A3">
              <w:t>Тип, класс проводов и осветительной арматуры, которые подлежат применению при строительстве ОКС, определить расчетом.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дополнительные и резервные источники электроэнергии (и мероприятия по резервированию) с учетом функционального назначения обслуживаемых помещений, режима работы и возможностей конструктивного исполнения.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u w:val="single"/>
              </w:rPr>
            </w:pPr>
            <w:r w:rsidRPr="002704A3">
              <w:rPr>
                <w:u w:val="single"/>
              </w:rPr>
              <w:t>Электроосвещение и силовое электрооборудование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следующие виды освещения: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– рабочее; 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– аварийное (резервное и эвакуационное).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Типы светильников для всех освещений принять в зависимости от характеристик помещений.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В качестве осветительных приборов использовать светильники с энергосберегающими лампами. 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Аварийное освещение выполнить во всех инженерных помещениях, на путях эвакуации, в помещениях с постоянным пребыванием людей. 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Управление электроосвещением помещений выполнить: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– для основных коридоров и лестничных клеток – централизованное, управляемое с рабочего места помещение охраны.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– для остальных помещений – </w:t>
            </w:r>
            <w:proofErr w:type="gramStart"/>
            <w:r w:rsidRPr="002704A3">
              <w:t>местное</w:t>
            </w:r>
            <w:proofErr w:type="gramEnd"/>
            <w:r w:rsidRPr="002704A3">
              <w:t xml:space="preserve"> с выключателями у входов.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Управление светильниками наружного освещения (в том числе охранного) – при помощи сумеречного реле или таймера, с возможностью централизованного управления с рабочего места администратора или охраны.</w:t>
            </w:r>
          </w:p>
          <w:p w:rsidR="00FF0317" w:rsidRPr="002704A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Водоснабжение и канализация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Объект капитального строительства должен быть обеспечен водой, отвечающей требованиям СанПиН 2.1.4.1074-01.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Разработать мероприятия по обеспечению установленных показателей качества воды для различных потребителей, мероприятия по резервированию воды, по учету водопотребления; по рациональному использованию воды и ее экономии с учетом автоматизации системы водоснабжения.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Расходы воды на хозяйственно-питьевые нужды определить с учетом расходов на автоматическое пожаротушение и техническое водоснабжение, включая оборотное (при необходимости).</w:t>
            </w:r>
          </w:p>
          <w:p w:rsidR="00FF0317" w:rsidRPr="002704A3" w:rsidRDefault="00FF0317" w:rsidP="00063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Предусмотреть наружные поливочные краны для полива территории, установку пожарных шкафов, оснащённых пожарными кранам, рукавами, стволами и местом для установки ручных огнетушителей.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Дренаж и гидроизоляция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 xml:space="preserve">Предусмотреть решения по сбору и отводу дренажных вод (при необходимости) с учетом сложившихся топографических, инженерно-геологических, гидрогеологических, метеорологических и климатических условий земельного участка, сведений о </w:t>
            </w:r>
            <w:r w:rsidRPr="002704A3">
              <w:rPr>
                <w:rFonts w:ascii="Times New Roman" w:hAnsi="Times New Roman"/>
                <w:sz w:val="24"/>
                <w:szCs w:val="24"/>
              </w:rPr>
              <w:lastRenderedPageBreak/>
              <w:t>прочностных и деформационных характеристиках грунта в основании, конструктивных и технических решений подземной части ОКС.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Внутренний водосток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Системы сбора и отвода сточных вод, объем сточных вод, концентраций их загрязнений, способы предварительной очистки, применяемые реагенты, оборудование и аппаратуру, схемы прокладки канализационных трубопроводов, условия их прокладки, оборудование, материалы трубопроводов и колодцев, способы их защиты от агрессивного воздействия грунтов и грунтовых вод предусмотреть с учетом сложившихся топографических, инженерно-геологических, гидрогеологических, метеорологических и климатических условий земельного участка, сведений о прочностных и деформационных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характеристиках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грунта в основании, конструктивных и технических решений подземной части ОКС.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Отведение ливневых и талых вод с кровли предусмотреть системой внутренних водостоков в ливневую сеть канализации.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Параметры ливневой канализации определить с учетом расчетного объема дождевых стоков.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Автоматическое пожаротушение</w:t>
            </w:r>
          </w:p>
          <w:p w:rsidR="00FF0317" w:rsidRPr="002704A3" w:rsidRDefault="00FF0317" w:rsidP="0006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Тип автоматической установки тушения, способ тушения, вид огнетушащих средств, тип оборудования установок пожарной автоматики определить в зависимости от технологических, конструктивных и объемно-планировочных особенностей защищаемого ОКС и помещений с учетом требований действующих нормативно-технических документов.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Охранно-пожарная сигнализация и оповещение о пожаре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Предусмотреть локальное оповещение в случае несанкционированного проникновения и при пожаре, передачу тревожного сообщения о пожаре на пост пожарной части.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 xml:space="preserve">Пожарные </w:t>
            </w:r>
            <w:proofErr w:type="spellStart"/>
            <w:r w:rsidRPr="002704A3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предусмотреть 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адресно-аналоговыми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Система охранной сигнализации ОКС должна включать следующие мероприятия: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– контроль состояния дверей и окон;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– контроль состояния помещений.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Контроль и управление доступом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Предусмотреть применение видеодомофонов и электронных замков, оснащённых считывателями и брелоками идентификации на служебных входах в ОКС с размещением абонентских устройств в помещении охраны.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Предусмотреть автоматическое открытие замков по сигналу ПОЖАР системы автоматики противопожарной защиты.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Диспетчеризация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щит контроля аварий инженерного оборудования с лампами «АВАРИЯ» на посту охраны, отображающий аварии систем отопления, вентиляции, электроснабжения, водоснабжения и водоотведения.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Видеонаблюдение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Предусмотреть систему круглосуточного видеоконтроля прилегающей территории и помещений.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Оборудование охранного видеонаблюдения должно включать в 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себя наружные стационарные камеры цветного изображения, наружные купольные цветные видеокамеры, внутренние видеокамеры, центральное оборудование – видеомониторы и аппаратуру </w:t>
            </w:r>
            <w:proofErr w:type="spellStart"/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видеорегистрации</w:t>
            </w:r>
            <w:proofErr w:type="spellEnd"/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 установки и расположения камер определить с учетом функционального назначения обслуживаемых помещений и согласования рабочей группы по развитию системы «Безопасный регион» муниципального образования и Главного управления региональной безопасности Московской области.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Наружные стационарные видеокамеры оборудовать климатическими кожухами, обеспечивающими работу оборудования при любых погодных условиях.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Центральное оборудование системы охранного телевидения расположить в помещении с круглосуточным дежурством обслуживающего персонала (пост охраны). Камеры наблюдения расположить таким образом, чтобы просматривались периметр, прилегающая территория ОКС, внутренняя площадь ОКС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Произвести необходимый расчет потребности системы видеонаблюдения исходя из условия исключения возможности возникновения «мертвых зон».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  <w:p w:rsidR="00FF0317" w:rsidRPr="00952969" w:rsidRDefault="00FF0317" w:rsidP="0006382C">
            <w:pPr>
              <w:tabs>
                <w:tab w:val="left" w:pos="179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Предусмотреть установку программно-технических комплексов, обеспечивающих видеонаблюдение строительных площадок, и мест, открытых для общего пользования (после ввода ОКС в эксплуатацию), и передачу данных в муниципальные центры обработки и хранения видеоданных.</w:t>
            </w:r>
          </w:p>
          <w:p w:rsidR="00FF0317" w:rsidRPr="00667678" w:rsidRDefault="00FF0317" w:rsidP="0006382C">
            <w:pPr>
              <w:pStyle w:val="1"/>
              <w:shd w:val="clear" w:color="auto" w:fill="FFFFFF"/>
              <w:tabs>
                <w:tab w:val="left" w:pos="179"/>
              </w:tabs>
              <w:ind w:right="57"/>
              <w:jc w:val="both"/>
            </w:pP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Телефонизация и мини АТС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Предусмотреть возможность обеспечения рабочих мест городской, междугородной и международной телефонной, а также факсимильной связью.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b/>
              </w:rPr>
            </w:pPr>
            <w:r w:rsidRPr="002704A3">
              <w:t xml:space="preserve">Предусмотреть возможность применения телефонов с мини </w:t>
            </w:r>
            <w:proofErr w:type="gramStart"/>
            <w:r w:rsidRPr="002704A3">
              <w:t>АТС</w:t>
            </w:r>
            <w:proofErr w:type="gramEnd"/>
            <w:r w:rsidRPr="002704A3">
              <w:t xml:space="preserve"> с учетом функционального назначения обслуживаемых помещений.</w:t>
            </w:r>
            <w:r w:rsidRPr="002704A3">
              <w:rPr>
                <w:b/>
              </w:rPr>
              <w:t xml:space="preserve"> 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  <w:rPr>
                <w:u w:val="single"/>
              </w:rPr>
            </w:pPr>
            <w:r w:rsidRPr="002704A3">
              <w:rPr>
                <w:u w:val="single"/>
              </w:rPr>
              <w:t>Радиофикация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 xml:space="preserve">Предусмотреть установку радиодинамиков с учетом </w:t>
            </w:r>
            <w:r w:rsidRPr="002704A3">
              <w:lastRenderedPageBreak/>
              <w:t>функционального назначения обслуживаемых помещений.</w:t>
            </w:r>
          </w:p>
          <w:p w:rsidR="00FF0317" w:rsidRPr="002704A3" w:rsidRDefault="00FF0317" w:rsidP="0006382C">
            <w:pPr>
              <w:pStyle w:val="1"/>
              <w:tabs>
                <w:tab w:val="left" w:pos="179"/>
              </w:tabs>
              <w:ind w:right="57"/>
              <w:jc w:val="both"/>
            </w:pPr>
            <w:r w:rsidRPr="002704A3">
              <w:t>Обеспечить бесперебойное питание активного оборудования системы радиофикации.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Телевидение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 xml:space="preserve">Предусмотреть устройство системы приема коллективного эфирного телевидения, 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позволяющую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принимать и транслировать к абонентам телевизионный сигнал (47-862 МГц).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Для приема эфирных каналов применить наружную эфирную телевизионную антенну.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Места установки телевизионных розеток, схемы установки антенны определить с учетом возможностей их конструктивного исполнения и функционального назначения помещений.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Электрочасофикация</w:t>
            </w:r>
            <w:proofErr w:type="spellEnd"/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>Предусмотреть подключение и синхронизацию к часовой станции (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мастер-часам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>) ведомых часов по проводной связи с учетом возможностей их конструктивного исполнения и функционального назначения помещений.</w:t>
            </w:r>
          </w:p>
          <w:p w:rsidR="00FF0317" w:rsidRPr="002704A3" w:rsidRDefault="00FF0317" w:rsidP="00063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4A3">
              <w:rPr>
                <w:rFonts w:ascii="Times New Roman" w:hAnsi="Times New Roman"/>
                <w:sz w:val="24"/>
                <w:szCs w:val="24"/>
                <w:u w:val="single"/>
              </w:rPr>
              <w:t>Телекоммуникация, компьютерная сеть и оптико-волоконная связь с интернет</w:t>
            </w:r>
          </w:p>
          <w:p w:rsidR="00FF0317" w:rsidRDefault="00FF0317" w:rsidP="0006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A3">
              <w:rPr>
                <w:rFonts w:ascii="Times New Roman" w:hAnsi="Times New Roman"/>
                <w:sz w:val="24"/>
                <w:szCs w:val="24"/>
              </w:rPr>
              <w:t xml:space="preserve">Выполнить в соответствии с СП 132.13330. СП 133.13330.2011, СП 134.13330.2011, </w:t>
            </w:r>
            <w:proofErr w:type="gramStart"/>
            <w:r w:rsidRPr="002704A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704A3">
              <w:rPr>
                <w:rFonts w:ascii="Times New Roman" w:hAnsi="Times New Roman"/>
                <w:sz w:val="24"/>
                <w:szCs w:val="24"/>
              </w:rPr>
              <w:t xml:space="preserve"> 78.36.002-2010, распоряжением Министерства государственного управления Московской области от 20.09.2016 № 10-76/РВ.</w:t>
            </w:r>
          </w:p>
          <w:p w:rsidR="00FF0317" w:rsidRPr="00476F3E" w:rsidRDefault="00FF0317" w:rsidP="0006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Охранно-защитную </w:t>
            </w:r>
            <w:proofErr w:type="spellStart"/>
            <w:r w:rsidRPr="00476F3E">
              <w:rPr>
                <w:rFonts w:ascii="Times New Roman" w:hAnsi="Times New Roman"/>
                <w:sz w:val="24"/>
                <w:szCs w:val="24"/>
                <w:u w:val="single"/>
              </w:rPr>
              <w:t>дератизационную</w:t>
            </w:r>
            <w:proofErr w:type="spellEnd"/>
            <w:r w:rsidRPr="00476F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систему</w:t>
            </w:r>
            <w:r w:rsidRPr="0047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F3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476F3E">
              <w:rPr>
                <w:rFonts w:ascii="Times New Roman" w:hAnsi="Times New Roman"/>
                <w:sz w:val="24"/>
                <w:szCs w:val="24"/>
              </w:rPr>
              <w:t>предусмотреть устройство</w:t>
            </w:r>
            <w:r w:rsidRPr="00476F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F3E">
              <w:rPr>
                <w:rFonts w:ascii="Times New Roman" w:hAnsi="Times New Roman"/>
                <w:sz w:val="24"/>
                <w:szCs w:val="24"/>
              </w:rPr>
              <w:t>ОЗДС на базе оборудования ИССАН-ОХРА-Д-333.</w:t>
            </w:r>
          </w:p>
          <w:p w:rsidR="00FF0317" w:rsidRPr="00952969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u w:val="single"/>
              </w:rPr>
            </w:pPr>
            <w:r w:rsidRPr="00952969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u w:val="single"/>
              </w:rPr>
              <w:t>Внутриплощадочные сети запроектировать:</w:t>
            </w:r>
          </w:p>
          <w:p w:rsidR="00FF0317" w:rsidRPr="00952969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-</w:t>
            </w:r>
            <w:r w:rsidRPr="009529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наружные сети водоснабжения и канализации в границах земельного участка в соответствии с Техническими условиями (нагрузки и технические параметры определить проектом).</w:t>
            </w:r>
          </w:p>
          <w:p w:rsidR="00FF0317" w:rsidRPr="00952969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наружные тепловые сети в границах земельного участка в соответствии с Техническими условиями (нагрузки и технические параметры определить проектом).</w:t>
            </w:r>
          </w:p>
          <w:p w:rsidR="00FF0317" w:rsidRPr="00952969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наружные электрические сети в границах земельного участка в соответствии с Техническими условиями (нагрузки и технические параметры определить проектом).</w:t>
            </w:r>
          </w:p>
          <w:p w:rsidR="00FF0317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наружные сети связи в границах земельного участка в соответствии с Техническими условиями (нагрузки и технические параметры определить проектом).</w:t>
            </w:r>
          </w:p>
          <w:p w:rsidR="00FF0317" w:rsidRPr="005E7E7B" w:rsidRDefault="00FF0317" w:rsidP="00063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>В рамках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требований к </w:t>
            </w:r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D2734A"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  <w:t>антитеррористической защищенности зданий и сооружений</w:t>
            </w:r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предусмотреть наличие стационарно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й рамки</w:t>
            </w:r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>металлообнаружителя</w:t>
            </w:r>
            <w:proofErr w:type="spellEnd"/>
            <w:r w:rsidRPr="00D2734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охранной сигнализации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</w:tr>
      <w:tr w:rsidR="00FF0317" w:rsidRPr="005E7E7B" w:rsidTr="0006382C">
        <w:trPr>
          <w:trHeight w:val="195"/>
        </w:trPr>
        <w:tc>
          <w:tcPr>
            <w:tcW w:w="331" w:type="pct"/>
            <w:shd w:val="clear" w:color="auto" w:fill="FFFFFF"/>
          </w:tcPr>
          <w:p w:rsidR="00FF0317" w:rsidRPr="005E7E7B" w:rsidRDefault="00FF0317" w:rsidP="0006382C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1140" w:type="pct"/>
          </w:tcPr>
          <w:p w:rsidR="00FF0317" w:rsidRPr="005E7E7B" w:rsidRDefault="00FF0317" w:rsidP="000638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E">
              <w:rPr>
                <w:rFonts w:ascii="Times New Roman" w:hAnsi="Times New Roman"/>
                <w:sz w:val="24"/>
                <w:szCs w:val="24"/>
              </w:rPr>
              <w:t>Требования к BIM-модел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29" w:type="pct"/>
          </w:tcPr>
          <w:p w:rsidR="00FF0317" w:rsidRPr="00952969" w:rsidRDefault="00FF0317" w:rsidP="00FF0317">
            <w:pPr>
              <w:numPr>
                <w:ilvl w:val="3"/>
                <w:numId w:val="3"/>
              </w:numPr>
              <w:shd w:val="clear" w:color="auto" w:fill="FFFFFF"/>
              <w:spacing w:after="0" w:line="240" w:lineRule="auto"/>
              <w:ind w:left="237" w:hanging="23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BIM-модель выполнить с учетом требований:</w:t>
            </w:r>
          </w:p>
          <w:p w:rsidR="00FF0317" w:rsidRPr="00952969" w:rsidRDefault="00FF0317" w:rsidP="00FF031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20" w:hanging="283"/>
              <w:contextualSpacing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7" w:tgtFrame="_blank" w:history="1">
              <w:r w:rsidRPr="00952969">
                <w:rPr>
                  <w:rFonts w:ascii="Times New Roman" w:eastAsia="Calibri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СП 328.1325800.2017</w:t>
              </w:r>
            </w:hyperlink>
            <w:r w:rsidRPr="0095296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«Информационное моделирование в строительстве. Правила описания компонентов информационной модели»; </w:t>
            </w:r>
          </w:p>
          <w:p w:rsidR="00FF0317" w:rsidRPr="00952969" w:rsidRDefault="00FF0317" w:rsidP="00FF031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20" w:hanging="283"/>
              <w:contextualSpacing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8" w:tgtFrame="_blank" w:history="1">
              <w:r w:rsidRPr="00952969">
                <w:rPr>
                  <w:rFonts w:ascii="Times New Roman" w:eastAsia="Calibri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СП 331.1325800.2017</w:t>
              </w:r>
            </w:hyperlink>
            <w:r w:rsidRPr="0095296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комплексах»; </w:t>
            </w:r>
          </w:p>
          <w:p w:rsidR="00FF0317" w:rsidRPr="00952969" w:rsidRDefault="00FF0317" w:rsidP="00FF031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20" w:hanging="283"/>
              <w:contextualSpacing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9" w:tgtFrame="_blank" w:history="1">
              <w:r w:rsidRPr="00952969">
                <w:rPr>
                  <w:rFonts w:ascii="Times New Roman" w:eastAsia="Calibri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СП 333.1325800.2017</w:t>
              </w:r>
            </w:hyperlink>
            <w:r w:rsidRPr="0095296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«Информационное моделирование в строительстве. Правила формирования информационной модели объектов на различных стадиях жизненного цикла»;</w:t>
            </w:r>
          </w:p>
          <w:p w:rsidR="00FF0317" w:rsidRPr="00952969" w:rsidRDefault="00FF0317" w:rsidP="00FF0317">
            <w:pPr>
              <w:numPr>
                <w:ilvl w:val="3"/>
                <w:numId w:val="3"/>
              </w:numPr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Минимальные объемы моделирования и требуемые уровни проработки элементов BIM-модели, выполняемой на 1 этапе работы, предусмотренной настоящим </w:t>
            </w: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Техническим заданием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F0317" w:rsidRPr="00952969" w:rsidRDefault="00FF0317" w:rsidP="0006382C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«Схема планировочной организации земельного участка»:</w:t>
            </w:r>
          </w:p>
          <w:p w:rsidR="00FF0317" w:rsidRPr="00952969" w:rsidRDefault="00FF0317" w:rsidP="00FF031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рельеф, проектируемые поверхности отображаются как 3D-поверхность;</w:t>
            </w:r>
          </w:p>
          <w:p w:rsidR="00FF0317" w:rsidRPr="00952969" w:rsidRDefault="00FF0317" w:rsidP="00FF031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отображаются все сложные элементы рельефа и поверхности, МАФ, площадки, покрытия, лестницы, пандусы, ограждение и иные создаваемые элементы благоустройства (уровень проработки элементов </w:t>
            </w: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BIM-модели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ЛОД ПД/LOD 400);</w:t>
            </w:r>
          </w:p>
          <w:p w:rsidR="00FF0317" w:rsidRPr="00952969" w:rsidRDefault="00FF0317" w:rsidP="00FF031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включены все проектируемые элементы;</w:t>
            </w:r>
          </w:p>
          <w:p w:rsidR="00FF0317" w:rsidRPr="00952969" w:rsidRDefault="00FF0317" w:rsidP="0006382C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«Архитектурные и технологические решения</w:t>
            </w: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»:</w:t>
            </w:r>
          </w:p>
          <w:p w:rsidR="00FF0317" w:rsidRPr="00952969" w:rsidRDefault="00FF0317" w:rsidP="00FF03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37" w:right="36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моделируются помещения, все стены и перегородки, навесные стены (витражи), колонны, балки, капители, двери, окна, проемы, крыши, лестницы, перекрытия, потолки, мебель и сантехническое оборудование</w:t>
            </w:r>
            <w:r w:rsidRPr="0095296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уровнем проработки, достаточным для анализа коллизий, составления спецификаций и ведомостей объемов материалов и изделий (уровень проработки элементов </w:t>
            </w: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BIM-модели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ЛОД ПД/LOD 400);</w:t>
            </w:r>
            <w:proofErr w:type="gramEnd"/>
          </w:p>
          <w:p w:rsidR="00FF0317" w:rsidRPr="00952969" w:rsidRDefault="00FF0317" w:rsidP="00FF03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визуально воспринимаемых внешних элементов ОКС </w:t>
            </w: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BIM-модели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должны соответствовать описанию и графическому приложению 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Свидетельства о согласовании архитектурно-градостроительного облика ОКС на территории Московской области</w:t>
            </w: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(уровень проработки элементов BIM-проекта ЛОД ПД/LOD 400);</w:t>
            </w:r>
          </w:p>
          <w:p w:rsidR="00FF0317" w:rsidRPr="00952969" w:rsidRDefault="00FF0317" w:rsidP="00FF03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отделка моделируется отдельными слоями;</w:t>
            </w:r>
          </w:p>
          <w:p w:rsidR="00FF0317" w:rsidRPr="00952969" w:rsidRDefault="00FF0317" w:rsidP="0006382C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«Конструктивные и объемно-планировочные решения»:</w:t>
            </w:r>
          </w:p>
          <w:p w:rsidR="00FF0317" w:rsidRPr="00952969" w:rsidRDefault="00FF0317" w:rsidP="00FF0317">
            <w:pPr>
              <w:numPr>
                <w:ilvl w:val="0"/>
                <w:numId w:val="6"/>
              </w:numPr>
              <w:spacing w:after="0" w:line="240" w:lineRule="auto"/>
              <w:ind w:left="237" w:hanging="237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952969">
              <w:rPr>
                <w:rFonts w:ascii="Times New Roman" w:eastAsia="Calibri" w:hAnsi="Times New Roman" w:cs="Times New Roman"/>
                <w:sz w:val="24"/>
                <w:szCs w:val="24"/>
              </w:rPr>
              <w:t>Моделируются все несущие конструкции: фундаменты, стены, пилоны, перекрытия, капители, колонны, балки, фермы c уровнем проработки, достаточным для, анализа коллизий, составления спецификаций оборудования, изделий и материалов (уровень проработки элементов BIM-проекта не ниже ЛОД ПД/LOD 400);</w:t>
            </w:r>
            <w:proofErr w:type="gramEnd"/>
          </w:p>
          <w:p w:rsidR="00FF0317" w:rsidRPr="00952969" w:rsidRDefault="00FF0317" w:rsidP="000638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Примечание:</w:t>
            </w:r>
          </w:p>
          <w:p w:rsidR="00FF0317" w:rsidRPr="009A3ED8" w:rsidRDefault="00FF0317" w:rsidP="000638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период выполнения 1 этапа работы Подрядчик обеспечивает на постоянной основе доступ Заказчика к данным BIM-модели, размещенных в структуре области данных «Общий доступ».</w:t>
            </w:r>
          </w:p>
        </w:tc>
      </w:tr>
    </w:tbl>
    <w:p w:rsidR="00FF0317" w:rsidRPr="005E7E7B" w:rsidRDefault="00FF0317" w:rsidP="00FF0317">
      <w:pPr>
        <w:tabs>
          <w:tab w:val="num" w:pos="0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0317" w:rsidRDefault="00FF0317" w:rsidP="00FF0317">
      <w:pPr>
        <w:tabs>
          <w:tab w:val="num" w:pos="4536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E7E7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777FC" w:rsidRDefault="00A777FC"/>
    <w:sectPr w:rsidR="00A7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C1F"/>
    <w:multiLevelType w:val="hybridMultilevel"/>
    <w:tmpl w:val="B2FE2FDE"/>
    <w:lvl w:ilvl="0" w:tplc="964ED7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BDA84BAE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AEEE2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3F60"/>
    <w:multiLevelType w:val="hybridMultilevel"/>
    <w:tmpl w:val="2676F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409C"/>
    <w:multiLevelType w:val="hybridMultilevel"/>
    <w:tmpl w:val="B1E2CDC0"/>
    <w:lvl w:ilvl="0" w:tplc="04190011">
      <w:start w:val="1"/>
      <w:numFmt w:val="decimal"/>
      <w:lvlText w:val="%1)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4F1771B0"/>
    <w:multiLevelType w:val="hybridMultilevel"/>
    <w:tmpl w:val="6D223CA0"/>
    <w:lvl w:ilvl="0" w:tplc="1C7C060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66DED"/>
    <w:multiLevelType w:val="hybridMultilevel"/>
    <w:tmpl w:val="6F220266"/>
    <w:lvl w:ilvl="0" w:tplc="4768F0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317A5"/>
    <w:multiLevelType w:val="hybridMultilevel"/>
    <w:tmpl w:val="79007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17"/>
    <w:rsid w:val="00A777F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317"/>
    <w:rPr>
      <w:color w:val="0563C1"/>
      <w:u w:val="single"/>
    </w:rPr>
  </w:style>
  <w:style w:type="paragraph" w:customStyle="1" w:styleId="1">
    <w:name w:val="Без интервала1"/>
    <w:qFormat/>
    <w:rsid w:val="00FF03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317"/>
    <w:rPr>
      <w:color w:val="0563C1"/>
      <w:u w:val="single"/>
    </w:rPr>
  </w:style>
  <w:style w:type="paragraph" w:customStyle="1" w:styleId="1">
    <w:name w:val="Без интервала1"/>
    <w:qFormat/>
    <w:rsid w:val="00FF03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docs/1640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stroyrf.ru/docs/164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stroyrf.ru/docs/164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Аи</dc:creator>
  <cp:lastModifiedBy>Александр Аи</cp:lastModifiedBy>
  <cp:revision>1</cp:revision>
  <dcterms:created xsi:type="dcterms:W3CDTF">2023-06-16T08:44:00Z</dcterms:created>
  <dcterms:modified xsi:type="dcterms:W3CDTF">2023-06-16T08:45:00Z</dcterms:modified>
</cp:coreProperties>
</file>