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81BE" w14:textId="77777777" w:rsidR="005E3F46" w:rsidRDefault="005E3F46" w:rsidP="005E3F4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ru-RU"/>
        </w:rPr>
      </w:pPr>
    </w:p>
    <w:p w14:paraId="22145C02" w14:textId="73EC4C6C" w:rsidR="00C6265F" w:rsidRDefault="00C6265F" w:rsidP="007E7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000" w:firstRow="0" w:lastRow="0" w:firstColumn="0" w:lastColumn="0" w:noHBand="0" w:noVBand="0"/>
      </w:tblPr>
      <w:tblGrid>
        <w:gridCol w:w="3593"/>
        <w:gridCol w:w="5758"/>
      </w:tblGrid>
      <w:tr w:rsidR="00C6265F" w14:paraId="50727D17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482EC9A9" w14:textId="77777777" w:rsidR="00C6265F" w:rsidRPr="007F3C7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7F3C7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1. Наименование работ</w:t>
            </w:r>
          </w:p>
        </w:tc>
        <w:tc>
          <w:tcPr>
            <w:tcW w:w="3079" w:type="pct"/>
            <w:shd w:val="clear" w:color="auto" w:fill="auto"/>
          </w:tcPr>
          <w:p w14:paraId="385B7153" w14:textId="1ABD3A0C" w:rsidR="007F3C7D" w:rsidRPr="007F3C7D" w:rsidRDefault="007F3C7D" w:rsidP="007F3C7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7F3C7D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Выполнение проектной и рабочей документации для капитального ремонта объекта:</w:t>
            </w:r>
          </w:p>
          <w:p w14:paraId="1FFD0840" w14:textId="77777777" w:rsidR="007E7D3A" w:rsidRPr="007E7D3A" w:rsidRDefault="007E7D3A" w:rsidP="007E7D3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7E7D3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«Автомобильная дорога от ул.Адмирала Угрюмова до КПП в/ч 30893, Приморский край, г. Владивосток»</w:t>
            </w:r>
          </w:p>
          <w:p w14:paraId="45FB3023" w14:textId="49324CF3" w:rsidR="00C6265F" w:rsidRPr="007F3C7D" w:rsidRDefault="007E7D3A" w:rsidP="007E7D3A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  <w:r w:rsidRPr="007E7D3A">
              <w:rPr>
                <w:rFonts w:ascii="Arial Narrow" w:eastAsia="Times New Roman" w:hAnsi="Arial Narrow"/>
                <w:sz w:val="24"/>
                <w:szCs w:val="24"/>
                <w:lang w:eastAsia="ar-SA"/>
              </w:rPr>
              <w:t>(Ин. № 2804010789 НП ЧС 05 401-0164)</w:t>
            </w:r>
          </w:p>
        </w:tc>
      </w:tr>
      <w:tr w:rsidR="00C6265F" w14:paraId="1F86E75A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5335B50B" w14:textId="77777777" w:rsidR="00C6265F" w:rsidRPr="000D6926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D692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2. Основание для разработки проектной документации</w:t>
            </w:r>
          </w:p>
        </w:tc>
        <w:tc>
          <w:tcPr>
            <w:tcW w:w="3079" w:type="pct"/>
            <w:shd w:val="clear" w:color="auto" w:fill="auto"/>
          </w:tcPr>
          <w:p w14:paraId="4E6F5118" w14:textId="4B3CC2AB" w:rsidR="00C6265F" w:rsidRPr="000D6926" w:rsidRDefault="00C6265F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ar-SA"/>
              </w:rPr>
            </w:pPr>
          </w:p>
        </w:tc>
      </w:tr>
      <w:tr w:rsidR="00C6265F" w14:paraId="6F5C1D6C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1566352D" w14:textId="560D6EEA" w:rsidR="00C6265F" w:rsidRPr="000D6926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D692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3.</w:t>
            </w:r>
            <w:r w:rsidR="000D692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0D692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3079" w:type="pct"/>
            <w:shd w:val="clear" w:color="auto" w:fill="auto"/>
          </w:tcPr>
          <w:p w14:paraId="45231EA9" w14:textId="27EC671D" w:rsidR="00C6265F" w:rsidRPr="000D6926" w:rsidRDefault="00C6265F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6265F" w14:paraId="5D04D717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3BE1A4E2" w14:textId="706A7AA6" w:rsidR="00C6265F" w:rsidRPr="00C708E3" w:rsidRDefault="005E3F46" w:rsidP="00C7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4. </w:t>
            </w:r>
            <w:r w:rsidR="000D6926"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Генеральный</w:t>
            </w: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заказчик</w:t>
            </w:r>
          </w:p>
        </w:tc>
        <w:tc>
          <w:tcPr>
            <w:tcW w:w="3079" w:type="pct"/>
            <w:shd w:val="clear" w:color="auto" w:fill="auto"/>
          </w:tcPr>
          <w:p w14:paraId="5A7F3443" w14:textId="1548E100" w:rsidR="00C6265F" w:rsidRPr="00C708E3" w:rsidRDefault="00C6265F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6265F" w14:paraId="19E56CDA" w14:textId="77777777" w:rsidTr="00C708E3">
        <w:trPr>
          <w:trHeight w:val="391"/>
          <w:jc w:val="center"/>
        </w:trPr>
        <w:tc>
          <w:tcPr>
            <w:tcW w:w="1921" w:type="pct"/>
            <w:shd w:val="clear" w:color="auto" w:fill="auto"/>
          </w:tcPr>
          <w:p w14:paraId="1DBC64A6" w14:textId="69348461" w:rsidR="00C6265F" w:rsidRPr="00C708E3" w:rsidRDefault="005E3F46" w:rsidP="00C7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5. </w:t>
            </w:r>
            <w:r w:rsid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079" w:type="pct"/>
            <w:shd w:val="clear" w:color="auto" w:fill="auto"/>
          </w:tcPr>
          <w:p w14:paraId="5F6DFF3B" w14:textId="5D295258" w:rsidR="00C6265F" w:rsidRPr="00C708E3" w:rsidRDefault="00C6265F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FB2425" w14:paraId="1ED80499" w14:textId="77777777" w:rsidTr="00C708E3">
        <w:trPr>
          <w:trHeight w:val="391"/>
          <w:jc w:val="center"/>
        </w:trPr>
        <w:tc>
          <w:tcPr>
            <w:tcW w:w="1921" w:type="pct"/>
            <w:shd w:val="clear" w:color="auto" w:fill="auto"/>
          </w:tcPr>
          <w:p w14:paraId="0B5B77B5" w14:textId="02C02AF9" w:rsidR="00FB2425" w:rsidRPr="00C708E3" w:rsidRDefault="00FB2425" w:rsidP="00C7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5.1. Подрядчик</w:t>
            </w:r>
            <w:r w:rsid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(проектная организация)</w:t>
            </w:r>
          </w:p>
        </w:tc>
        <w:tc>
          <w:tcPr>
            <w:tcW w:w="3079" w:type="pct"/>
            <w:shd w:val="clear" w:color="auto" w:fill="auto"/>
          </w:tcPr>
          <w:p w14:paraId="4F0C1D97" w14:textId="750508A3" w:rsidR="00FB2425" w:rsidRPr="00B9781C" w:rsidRDefault="00FB2425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6265F" w14:paraId="434A36E1" w14:textId="77777777">
        <w:trPr>
          <w:trHeight w:val="20"/>
          <w:jc w:val="center"/>
        </w:trPr>
        <w:tc>
          <w:tcPr>
            <w:tcW w:w="1921" w:type="pct"/>
            <w:tcBorders>
              <w:bottom w:val="single" w:sz="4" w:space="0" w:color="auto"/>
            </w:tcBorders>
            <w:shd w:val="clear" w:color="auto" w:fill="auto"/>
          </w:tcPr>
          <w:p w14:paraId="118DA8B0" w14:textId="77777777" w:rsidR="00C6265F" w:rsidRPr="00C708E3" w:rsidRDefault="005E3F46" w:rsidP="00C7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6. Сроки и этапы строительных работ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shd w:val="clear" w:color="auto" w:fill="auto"/>
          </w:tcPr>
          <w:p w14:paraId="78F75379" w14:textId="333C7A29" w:rsidR="00C6265F" w:rsidRPr="00C708E3" w:rsidRDefault="00C6265F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</w:p>
        </w:tc>
      </w:tr>
      <w:tr w:rsidR="00C6265F" w14:paraId="02483C5D" w14:textId="77777777">
        <w:trPr>
          <w:trHeight w:val="20"/>
          <w:jc w:val="center"/>
        </w:trPr>
        <w:tc>
          <w:tcPr>
            <w:tcW w:w="1921" w:type="pct"/>
            <w:tcBorders>
              <w:bottom w:val="single" w:sz="4" w:space="0" w:color="auto"/>
            </w:tcBorders>
            <w:shd w:val="clear" w:color="auto" w:fill="auto"/>
          </w:tcPr>
          <w:p w14:paraId="11283221" w14:textId="77777777" w:rsidR="00C6265F" w:rsidRPr="00C708E3" w:rsidRDefault="005E3F46" w:rsidP="00C7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7. Вид работ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shd w:val="clear" w:color="auto" w:fill="auto"/>
          </w:tcPr>
          <w:p w14:paraId="482371FF" w14:textId="5ED1A9C8" w:rsidR="00C708E3" w:rsidRDefault="00C708E3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Проектная и рабочая документация.</w:t>
            </w:r>
          </w:p>
          <w:p w14:paraId="4E17CE0A" w14:textId="43561313" w:rsidR="00C6265F" w:rsidRPr="00C708E3" w:rsidRDefault="005E3F46" w:rsidP="00C708E3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Разработка</w:t>
            </w:r>
            <w:r w:rsidR="00D0193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проектных решений для согласования с Генеральным заказчиком</w:t>
            </w: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</w:tr>
      <w:tr w:rsidR="00C6265F" w14:paraId="1CA65C21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28407063" w14:textId="77777777" w:rsidR="00C6265F" w:rsidRPr="00C708E3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C708E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8. Порядок и сроки выполнения работ</w:t>
            </w:r>
          </w:p>
        </w:tc>
        <w:tc>
          <w:tcPr>
            <w:tcW w:w="3079" w:type="pct"/>
            <w:shd w:val="clear" w:color="auto" w:fill="auto"/>
          </w:tcPr>
          <w:p w14:paraId="4B244D13" w14:textId="6E34BBC8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Проектные работы выполнить в соответствии с календарным планом (приложение № 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 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Договору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).</w:t>
            </w:r>
          </w:p>
          <w:p w14:paraId="4AADAAD8" w14:textId="77777777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 подготовке проектной документации для объекта капитального строительства предусмотреть выделение отдельных этапов (при необходимости).</w:t>
            </w:r>
          </w:p>
          <w:p w14:paraId="037FEB40" w14:textId="77777777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Проектные работы выполнить в соответствии с требованиями действующих нормативно-технических документов, национальных и государственных стандартов Российской Федерации для объектов капитального строительства, в том числе при строительстве, реконструкции, капитальном ремонте и комплексном обустройстве автомобильных дорог:</w:t>
            </w:r>
          </w:p>
          <w:p w14:paraId="5D70B45D" w14:textId="77777777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в соответствии с Постановлением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14:paraId="1E9C5907" w14:textId="77777777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в соответствии со ст. 47-48 Градостроительного кодекса Российской Федерации;</w:t>
            </w:r>
          </w:p>
          <w:p w14:paraId="6F102BF2" w14:textId="4C395282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 соответствии с 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постановление Правительства Российской Федерации от 12.11.2016 № 1159 «О критериях экономической эффективности проектной документации»;</w:t>
            </w:r>
          </w:p>
          <w:p w14:paraId="4E1F2E20" w14:textId="0A372D98" w:rsidR="00C708E3" w:rsidRPr="00FB2425" w:rsidRDefault="00FB2425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в соответствии с иными, действующими на момент получения положительного заключения государственной экспертизы, нормативными и законодательными актами.</w:t>
            </w:r>
          </w:p>
          <w:p w14:paraId="00DF5159" w14:textId="77777777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Проектные решения разработать в соответствии с требованиями действующих технических регламентов, норм и правил, а также с учетом методической документации Федерального дорожного агентства (Росавтодор), Минтранса России.</w:t>
            </w:r>
          </w:p>
          <w:p w14:paraId="14323292" w14:textId="2E8E0836" w:rsidR="00C6265F" w:rsidRPr="00FB2425" w:rsidRDefault="00C708E3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Подготовить и предоставить Заказчику запросы на получение </w:t>
            </w:r>
            <w:r w:rsidR="005E3F46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технических условий и согласований на проектную документацию по объекту в объеме необходимом для обоснования принятых проектных решений.</w:t>
            </w:r>
          </w:p>
          <w:p w14:paraId="226876E8" w14:textId="07CFDC0B" w:rsidR="00C6265F" w:rsidRPr="00FB2425" w:rsidRDefault="005E3F46" w:rsidP="00FB2425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Выполнить сопровождение проектной документации в государственн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ой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экспертиз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и</w:t>
            </w:r>
            <w:r w:rsidR="00C708E3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</w:t>
            </w: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при необходимости, устранять замечания государственной экспертизы и Заказчика.</w:t>
            </w:r>
          </w:p>
        </w:tc>
      </w:tr>
      <w:tr w:rsidR="00C6265F" w14:paraId="2A8DFE36" w14:textId="77777777">
        <w:trPr>
          <w:trHeight w:val="20"/>
          <w:jc w:val="center"/>
        </w:trPr>
        <w:tc>
          <w:tcPr>
            <w:tcW w:w="1921" w:type="pct"/>
            <w:shd w:val="clear" w:color="auto" w:fill="auto"/>
          </w:tcPr>
          <w:p w14:paraId="314E522F" w14:textId="77777777" w:rsidR="00C6265F" w:rsidRPr="00FB2425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9. Исходные данные для проектирования</w:t>
            </w:r>
          </w:p>
        </w:tc>
        <w:tc>
          <w:tcPr>
            <w:tcW w:w="3079" w:type="pct"/>
            <w:shd w:val="clear" w:color="auto" w:fill="auto"/>
          </w:tcPr>
          <w:p w14:paraId="1E4B6E7D" w14:textId="77777777" w:rsidR="00047061" w:rsidRPr="00047061" w:rsidRDefault="00047061" w:rsidP="00047061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4706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9.1 Сбор исходных данных и технических условий, необходимых для проектирования объекта, осуществляет проектная организация.</w:t>
            </w:r>
          </w:p>
          <w:p w14:paraId="1BEB3CF3" w14:textId="4EDA7944" w:rsidR="00C6265F" w:rsidRPr="00FB2425" w:rsidRDefault="00047061" w:rsidP="00047061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04706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9.2. Отчеты по результатам инженерных изысканий объекта проектирования предоставляются Заказчиком.</w:t>
            </w:r>
          </w:p>
        </w:tc>
      </w:tr>
      <w:tr w:rsidR="00C6265F" w14:paraId="44061BBA" w14:textId="77777777">
        <w:trPr>
          <w:trHeight w:val="638"/>
          <w:jc w:val="center"/>
        </w:trPr>
        <w:tc>
          <w:tcPr>
            <w:tcW w:w="1921" w:type="pct"/>
            <w:shd w:val="clear" w:color="auto" w:fill="auto"/>
          </w:tcPr>
          <w:p w14:paraId="245E1F7B" w14:textId="77777777" w:rsidR="00C6265F" w:rsidRPr="00FB2425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10. Местоположение объекта </w:t>
            </w:r>
          </w:p>
        </w:tc>
        <w:tc>
          <w:tcPr>
            <w:tcW w:w="3079" w:type="pct"/>
            <w:shd w:val="clear" w:color="auto" w:fill="auto"/>
          </w:tcPr>
          <w:p w14:paraId="092DA3B0" w14:textId="0E0F7D4A" w:rsidR="007E7D3A" w:rsidRPr="007E7D3A" w:rsidRDefault="005E3F46" w:rsidP="007E7D3A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Линейный объект размещается </w:t>
            </w:r>
            <w:r w:rsidR="00FB2425"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 </w:t>
            </w:r>
            <w:r w:rsidR="007E7D3A" w:rsidRPr="007E7D3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Приморский край, г. Владивосток</w:t>
            </w:r>
          </w:p>
          <w:p w14:paraId="49EA7E8F" w14:textId="36ED441F" w:rsidR="00C6265F" w:rsidRPr="00FB2425" w:rsidRDefault="007E7D3A" w:rsidP="007E7D3A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7E7D3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(Ин. № 2804010789 НП ЧС 05 401-0164)</w:t>
            </w:r>
          </w:p>
        </w:tc>
      </w:tr>
      <w:tr w:rsidR="00C6265F" w14:paraId="13745BD5" w14:textId="77777777">
        <w:trPr>
          <w:trHeight w:val="20"/>
          <w:jc w:val="center"/>
        </w:trPr>
        <w:tc>
          <w:tcPr>
            <w:tcW w:w="1921" w:type="pct"/>
            <w:tcBorders>
              <w:bottom w:val="single" w:sz="4" w:space="0" w:color="auto"/>
            </w:tcBorders>
            <w:shd w:val="clear" w:color="auto" w:fill="auto"/>
          </w:tcPr>
          <w:p w14:paraId="39627800" w14:textId="77777777" w:rsidR="00C6265F" w:rsidRPr="00FB2425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FB242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11. Виды изыскательских работ</w:t>
            </w:r>
          </w:p>
        </w:tc>
        <w:tc>
          <w:tcPr>
            <w:tcW w:w="3079" w:type="pct"/>
            <w:tcBorders>
              <w:bottom w:val="single" w:sz="4" w:space="0" w:color="auto"/>
            </w:tcBorders>
            <w:shd w:val="clear" w:color="auto" w:fill="auto"/>
          </w:tcPr>
          <w:p w14:paraId="58ECF112" w14:textId="507772CE" w:rsidR="00FB2425" w:rsidRPr="00B9781C" w:rsidRDefault="00FB2425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Отчеты по результатам инженерных изысканий</w:t>
            </w:r>
          </w:p>
          <w:p w14:paraId="20019643" w14:textId="72664834" w:rsidR="00C6265F" w:rsidRPr="00B9781C" w:rsidRDefault="005E3F46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инженерно-геодезические,</w:t>
            </w:r>
          </w:p>
          <w:p w14:paraId="77EE513E" w14:textId="77777777" w:rsidR="00C6265F" w:rsidRPr="00B9781C" w:rsidRDefault="005E3F46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инженерно-геологические,</w:t>
            </w:r>
          </w:p>
          <w:p w14:paraId="4AA41DB3" w14:textId="5CE2F6E0" w:rsidR="00C6265F" w:rsidRPr="00B9781C" w:rsidRDefault="005E3F46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инженерно-гидрометеорологические</w:t>
            </w:r>
            <w:r w:rsidR="00B9781C"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(при необходимости)</w:t>
            </w:r>
          </w:p>
          <w:p w14:paraId="742390BB" w14:textId="7627A62E" w:rsidR="00C6265F" w:rsidRPr="00B9781C" w:rsidRDefault="00FB2425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объекта проектирования предоставляются Заказчиком.</w:t>
            </w:r>
          </w:p>
        </w:tc>
      </w:tr>
      <w:tr w:rsidR="00C6265F" w14:paraId="69E8B642" w14:textId="77777777">
        <w:trPr>
          <w:trHeight w:val="20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F3C4A1" w14:textId="77777777" w:rsidR="00C6265F" w:rsidRPr="003D637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D637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 Основные технические показатели объекта: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857BBD" w14:textId="33665708" w:rsidR="00C6265F" w:rsidRPr="003D637D" w:rsidRDefault="005E3F46" w:rsidP="003D637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D637D">
              <w:rPr>
                <w:rFonts w:ascii="Arial Narrow" w:eastAsia="Times New Roman" w:hAnsi="Arial Narrow"/>
                <w:b/>
                <w:bCs/>
                <w:sz w:val="24"/>
                <w:szCs w:val="24"/>
                <w:u w:val="single"/>
                <w:lang w:eastAsia="ru-RU"/>
              </w:rPr>
              <w:t>Уточняются проектной документацией.</w:t>
            </w:r>
          </w:p>
        </w:tc>
      </w:tr>
      <w:tr w:rsidR="00C6265F" w14:paraId="568DD053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A4EF73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12.1. Категория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82D0B8" w14:textId="03462EA4" w:rsidR="00C6265F" w:rsidRPr="00B46ADD" w:rsidRDefault="00B46ADD" w:rsidP="00B46AD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V</w:t>
            </w:r>
            <w:r w:rsidR="005E3F46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категория автомобильной дороги</w:t>
            </w: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уточнить при проектировании)</w:t>
            </w:r>
          </w:p>
        </w:tc>
      </w:tr>
      <w:tr w:rsidR="00C6265F" w14:paraId="2F8F6517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7DE3CF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12.2. Количественные показатели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1F6AFB" w14:textId="309DB0C0" w:rsidR="00C6265F" w:rsidRPr="00B46ADD" w:rsidRDefault="005E3F46" w:rsidP="00B46AD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капитальный </w:t>
            </w: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ремонт существующего участка автомобильной дороги –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7E7D3A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1,519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км</w:t>
            </w:r>
            <w:r w:rsidR="00D0193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  <w:p w14:paraId="3A1AC1F3" w14:textId="77777777" w:rsidR="00C6265F" w:rsidRPr="00B46ADD" w:rsidRDefault="005E3F46" w:rsidP="00B46AD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Окончательные объемы уточнить при разработке проектной документации.</w:t>
            </w:r>
          </w:p>
        </w:tc>
      </w:tr>
      <w:tr w:rsidR="00C6265F" w14:paraId="6A602BEE" w14:textId="77777777">
        <w:trPr>
          <w:cantSplit/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5E6B8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12.3. Расчетная скорость движения, км/ч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10DFA2" w14:textId="6787C6A1" w:rsidR="00C6265F" w:rsidRPr="00B46ADD" w:rsidRDefault="007E7D3A" w:rsidP="00B46AD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 (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сорок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)</w:t>
            </w:r>
          </w:p>
        </w:tc>
      </w:tr>
      <w:tr w:rsidR="00C6265F" w14:paraId="66EA33CA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68240C0" w14:textId="77777777" w:rsidR="00C6265F" w:rsidRPr="00B46ADD" w:rsidRDefault="005E3F46" w:rsidP="00B4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12.4. Количество полос движения, шт.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9DAC5D" w14:textId="40437B6B" w:rsidR="00C6265F" w:rsidRPr="00B46ADD" w:rsidRDefault="005E3F46" w:rsidP="00B46ADD">
            <w:pPr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 полосы</w:t>
            </w:r>
          </w:p>
        </w:tc>
      </w:tr>
      <w:tr w:rsidR="00C6265F" w14:paraId="42124C81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D1BB94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12.5. Ширина полосы движения, м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15E586" w14:textId="0F432B6C" w:rsidR="00C6265F" w:rsidRPr="00B46ADD" w:rsidRDefault="005E3F46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3,</w:t>
            </w:r>
            <w:r w:rsidR="00B46ADD"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0</w:t>
            </w: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м</w:t>
            </w:r>
          </w:p>
          <w:p w14:paraId="31130778" w14:textId="77777777" w:rsidR="00C6265F" w:rsidRPr="00B46ADD" w:rsidRDefault="005E3F46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Уточнить при разработке проектной документации.</w:t>
            </w:r>
          </w:p>
        </w:tc>
      </w:tr>
      <w:tr w:rsidR="00C6265F" w14:paraId="4061EA2B" w14:textId="77777777">
        <w:trPr>
          <w:trHeight w:val="855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0DB665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12.6. Ширина и протяженность пешеходной части тротуаров (пешеходных дорожек) м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6F0340" w14:textId="7E6C36F4" w:rsidR="00B46ADD" w:rsidRPr="00B46ADD" w:rsidRDefault="00B46ADD" w:rsidP="00B4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соответствии с результатами инженерных изысканий.</w:t>
            </w:r>
          </w:p>
          <w:p w14:paraId="3E117FD5" w14:textId="62191607" w:rsidR="00C6265F" w:rsidRPr="00B46ADD" w:rsidRDefault="005E3F46" w:rsidP="00B46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Уточнить при разработке проектной документации.</w:t>
            </w:r>
          </w:p>
        </w:tc>
      </w:tr>
      <w:tr w:rsidR="00C6265F" w14:paraId="716AA9F7" w14:textId="77777777">
        <w:trPr>
          <w:trHeight w:val="2067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613AA8" w14:textId="77777777" w:rsidR="00C6265F" w:rsidRPr="00B46ADD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46ADD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12.7. Класс нагрузки для расчета дорожной одежды, проверки устойчивости земляного полотна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13FA00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соответствии с СП 42.13330.2016 (Градостроительство. Планировка и застройка городских и сельских поселений), СП 34.13330.2021 (Автомобильные дороги), СП 35.13330.2011 (Мосты и трубы), ГОСТ Р 52748-2007 «Дороги автомобильные общего пользования. Нормативные нагрузки, расчетные схемы нагружения и габариты приближения» (утв. Приказом Ростехрегулирования от 24.09.2007 N 250-ст)</w:t>
            </w:r>
          </w:p>
        </w:tc>
      </w:tr>
      <w:tr w:rsidR="00C6265F" w14:paraId="4746999A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4074C03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12.8. Тип дорожной одежды и вид покрытия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6233BA" w14:textId="2A3C144A" w:rsidR="00C6265F" w:rsidRDefault="003A2523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Капитальный</w:t>
            </w:r>
            <w:r w:rsidR="005E3F46"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, </w:t>
            </w:r>
            <w:r w:rsidR="005D5967"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асфальтобетонное</w:t>
            </w:r>
            <w:r w:rsid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  <w:p w14:paraId="46FBDC7E" w14:textId="62674DA3" w:rsidR="005D5967" w:rsidRPr="005D5967" w:rsidRDefault="005D5967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Вид покрытия после капитального ремонта согласовать с Заказчиком.</w:t>
            </w:r>
          </w:p>
        </w:tc>
      </w:tr>
      <w:tr w:rsidR="00C6265F" w14:paraId="58EA3A19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7F7BE3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12.9. Коэффициент надежности и срок службы дорожной одежды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C0B698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Обеспечить: </w:t>
            </w:r>
          </w:p>
          <w:p w14:paraId="072993E7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коэффициент надежности дорожной конструкции – 0,98; </w:t>
            </w:r>
          </w:p>
          <w:p w14:paraId="611BBE9C" w14:textId="4EF0A7D0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межремонтный срок службы дорожной одежды – 24 года.</w:t>
            </w:r>
          </w:p>
          <w:p w14:paraId="006C61A2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Требуется устройство дренажа дорожной конструкции (уточнить проектом)</w:t>
            </w:r>
          </w:p>
        </w:tc>
      </w:tr>
      <w:tr w:rsidR="00C6265F" w14:paraId="13F553F6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C3BE68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12.10. Габариты (геометрические параметры)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C5B3E" w14:textId="71E88D10" w:rsidR="00C6265F" w:rsidRPr="00B9781C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 соответствии с СП 42.13330.2016 (Градостроительство. Планировка и застройка городских и сельских поселений), </w:t>
            </w: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СП 34.13330.2021 (Автомобильные дороги), СП 35.13330.2011 (Мосты и трубы), ГОСТ Р 52748-2007 Дороги автомобильные общего пользования. Нормативные нагрузки, расчетные схемы нагружения и габариты приближения" (утв. Приказом Ростехрегулирования от 24.09.2007 N 250-ст)</w:t>
            </w:r>
          </w:p>
        </w:tc>
      </w:tr>
      <w:tr w:rsidR="00C6265F" w14:paraId="72F80066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A2B05A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12.11. Минимальный радиус кривых в плане, м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543814" w14:textId="77777777" w:rsidR="00C6265F" w:rsidRPr="00B9781C" w:rsidRDefault="005E3F46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соответствии с принятыми категориями дорог</w:t>
            </w:r>
          </w:p>
        </w:tc>
      </w:tr>
      <w:tr w:rsidR="00C6265F" w14:paraId="3D336CE5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343E8B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12.12. Минимальный радиус кривых в профиле:</w:t>
            </w:r>
          </w:p>
          <w:p w14:paraId="02502D25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выпуклый/вогнутый, м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E0A554" w14:textId="77777777" w:rsidR="00C6265F" w:rsidRPr="005D5967" w:rsidRDefault="005E3F46" w:rsidP="005D5967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соответствии с принятыми категориями дорог</w:t>
            </w:r>
          </w:p>
        </w:tc>
      </w:tr>
      <w:tr w:rsidR="00C6265F" w14:paraId="6897762F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E574D0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12.13. Максимальный продольный уклон, ‰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BF57C9" w14:textId="77777777" w:rsidR="00C6265F" w:rsidRPr="005D5967" w:rsidRDefault="005E3F46" w:rsidP="005D59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соответствии с принятыми категориями дорог</w:t>
            </w:r>
          </w:p>
        </w:tc>
      </w:tr>
      <w:tr w:rsidR="00C6265F" w14:paraId="60EEEE9A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9DE3CF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12.14. Класс нагрузки для дорожной одежды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3943E7" w14:textId="5B6222E3" w:rsidR="00C6265F" w:rsidRPr="00B9781C" w:rsidRDefault="005E3F46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="005D5967"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10,</w:t>
            </w:r>
            <w:r w:rsidRPr="00B9781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ГОСТ Р 32960-2014 «Дороги автомобильные общего пользования. Нормативные нагрузки, расчетные схемы нагружения»</w:t>
            </w:r>
          </w:p>
        </w:tc>
      </w:tr>
      <w:tr w:rsidR="00C6265F" w14:paraId="47F5FB91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44632F" w14:textId="77777777" w:rsidR="00C6265F" w:rsidRPr="005D5967" w:rsidRDefault="005E3F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12.15. Класс нагрузки для искусственных сооружений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9DE8B9" w14:textId="01E4BCA5" w:rsidR="00C6265F" w:rsidRPr="005D5967" w:rsidRDefault="005E3F46">
            <w:pPr>
              <w:keepNext/>
              <w:shd w:val="clear" w:color="auto" w:fill="FFFFFF"/>
              <w:tabs>
                <w:tab w:val="left" w:pos="217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А14, Н14</w:t>
            </w:r>
            <w:r w:rsidR="005D5967"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</w:t>
            </w:r>
            <w:r w:rsidRPr="005D596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 соответствии с СП 35.13330.2011. Свод правил. Мосты и трубы. Актуализированная редакция СНиП 2.05.03-84*" (утв. Приказом Минрегиона РФ от 28.12.2010 N 822); ГОСТ Р 32960-2014 Дороги автомобильные общего пользования. Нормативные нагрузки, расчетные схемы нагружения."</w:t>
            </w:r>
          </w:p>
        </w:tc>
      </w:tr>
      <w:tr w:rsidR="00C6265F" w14:paraId="0F5B15CB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C0B4E7" w14:textId="77777777" w:rsidR="00C6265F" w:rsidRPr="00565CA9" w:rsidRDefault="005E3F46" w:rsidP="0056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12.16 Водопропускные трубы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35FDAD7" w14:textId="1AE4BDFE" w:rsidR="00C6265F" w:rsidRPr="00565CA9" w:rsidRDefault="00565CA9" w:rsidP="00565CA9">
            <w:pPr>
              <w:keepNext/>
              <w:shd w:val="clear" w:color="auto" w:fill="FFFFFF"/>
              <w:tabs>
                <w:tab w:val="left" w:pos="226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 наличии водопропускных труб, по результатам инженерных изысканий принять решение о необходимости их ремонта/замены</w:t>
            </w:r>
            <w:r w:rsidR="005E3F46"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Принятые решения отразить в проектной документации.</w:t>
            </w:r>
          </w:p>
        </w:tc>
      </w:tr>
      <w:tr w:rsidR="00C6265F" w14:paraId="4DBCEBBB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5FBC40" w14:textId="5DD3EE29" w:rsidR="00C6265F" w:rsidRPr="00565CA9" w:rsidRDefault="005E3F46" w:rsidP="0056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12.17 </w:t>
            </w:r>
            <w:r w:rsid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Инженерные сети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86EAFFD" w14:textId="646AB274" w:rsidR="00565CA9" w:rsidRDefault="00565CA9" w:rsidP="00565CA9">
            <w:pPr>
              <w:keepNext/>
              <w:shd w:val="clear" w:color="auto" w:fill="FFFFFF"/>
              <w:tabs>
                <w:tab w:val="left" w:pos="226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Заданием не предусматривается разработка новых и/или реконструкция существующих инженерных сетей.</w:t>
            </w:r>
          </w:p>
          <w:p w14:paraId="01BB9758" w14:textId="77777777" w:rsidR="00C6265F" w:rsidRDefault="00565CA9" w:rsidP="00565CA9">
            <w:pPr>
              <w:keepNext/>
              <w:shd w:val="clear" w:color="auto" w:fill="FFFFFF"/>
              <w:tabs>
                <w:tab w:val="left" w:pos="226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При необходимости предусмотреть вынос </w:t>
            </w:r>
            <w:r w:rsidR="00C76D91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инженерных </w:t>
            </w:r>
            <w:r w:rsidRPr="00565CA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сетей на период строительства.</w:t>
            </w:r>
          </w:p>
          <w:p w14:paraId="052A95AE" w14:textId="63F0A9ED" w:rsidR="00C76D91" w:rsidRPr="00565CA9" w:rsidRDefault="00C76D91" w:rsidP="00565CA9">
            <w:pPr>
              <w:keepNext/>
              <w:shd w:val="clear" w:color="auto" w:fill="FFFFFF"/>
              <w:tabs>
                <w:tab w:val="left" w:pos="226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Проектными решениями учесть мероприятия относительно конкретных сетей, отраженных в технических условиях соответствующих служб.</w:t>
            </w:r>
          </w:p>
        </w:tc>
      </w:tr>
      <w:tr w:rsidR="00227B06" w14:paraId="2A0DAB94" w14:textId="77777777">
        <w:trPr>
          <w:trHeight w:val="20"/>
          <w:jc w:val="center"/>
        </w:trPr>
        <w:tc>
          <w:tcPr>
            <w:tcW w:w="19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CE7386" w14:textId="757E0948" w:rsidR="00227B06" w:rsidRPr="00565CA9" w:rsidRDefault="00227B06" w:rsidP="00565C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12.18 Мостовые сооружения</w:t>
            </w:r>
          </w:p>
        </w:tc>
        <w:tc>
          <w:tcPr>
            <w:tcW w:w="30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32D477" w14:textId="1CDEA0E4" w:rsidR="00D0193B" w:rsidRDefault="003A2523" w:rsidP="00227B06">
            <w:pPr>
              <w:keepNext/>
              <w:shd w:val="clear" w:color="auto" w:fill="FFFFFF"/>
              <w:tabs>
                <w:tab w:val="left" w:pos="226"/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6265F" w14:paraId="557EA602" w14:textId="77777777">
        <w:trPr>
          <w:trHeight w:val="20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660B" w14:textId="3C8529DC" w:rsidR="00C6265F" w:rsidRPr="00E97555" w:rsidRDefault="005E3F46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13.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1. Идентификационные</w:t>
            </w: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признаки сооружения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1841" w14:textId="77777777" w:rsidR="00E97555" w:rsidRPr="00E97555" w:rsidRDefault="005E3F46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Назначение </w:t>
            </w:r>
          </w:p>
          <w:p w14:paraId="530C96AD" w14:textId="5AD1B3E4" w:rsidR="00C6265F" w:rsidRPr="00E97555" w:rsidRDefault="005E3F46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– 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Автомобильная дорога необщего пользования.</w:t>
            </w:r>
          </w:p>
          <w:p w14:paraId="37EC72C5" w14:textId="77777777" w:rsidR="00E97555" w:rsidRPr="00E97555" w:rsidRDefault="00E97555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 </w:t>
            </w:r>
          </w:p>
          <w:p w14:paraId="24FD4D28" w14:textId="24825B11" w:rsidR="00C6265F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– Код по общероссийскому классификатору основных фондов ОК 013-2014*: «220.42.11.10.120». Наименование группировки – «Дороги автомобильные, в том числе улично-дорожная сеть, и прочие автомобильные и пешеходные дороги».</w:t>
            </w:r>
          </w:p>
          <w:p w14:paraId="13D2DEC9" w14:textId="77777777" w:rsidR="00E97555" w:rsidRPr="00E97555" w:rsidRDefault="005E3F46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 </w:t>
            </w:r>
          </w:p>
          <w:p w14:paraId="717C34F2" w14:textId="103D1ECA" w:rsidR="00E97555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– нет. </w:t>
            </w:r>
          </w:p>
          <w:p w14:paraId="36765A7E" w14:textId="77777777" w:rsidR="00E97555" w:rsidRPr="00E97555" w:rsidRDefault="005E3F46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Принадлежность к опасным производственным объектам </w:t>
            </w:r>
          </w:p>
          <w:p w14:paraId="38CA28B5" w14:textId="11D86A65" w:rsidR="00C6265F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 xml:space="preserve">– нет </w:t>
            </w:r>
          </w:p>
          <w:p w14:paraId="66FF1822" w14:textId="77777777" w:rsidR="00E97555" w:rsidRPr="00E97555" w:rsidRDefault="005E3F46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Пожарная и взрывопожарная опасность </w:t>
            </w:r>
          </w:p>
          <w:p w14:paraId="3E8879F3" w14:textId="36940135" w:rsidR="00C6265F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– Не подлежит категорированию.</w:t>
            </w:r>
          </w:p>
          <w:p w14:paraId="64228E34" w14:textId="77777777" w:rsidR="00E97555" w:rsidRPr="00E97555" w:rsidRDefault="005E3F46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="00E97555"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Наличие помещений с постоянным пребыванием людей </w:t>
            </w:r>
          </w:p>
          <w:p w14:paraId="14BB4316" w14:textId="0ED3885A" w:rsidR="00C6265F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– нет.</w:t>
            </w:r>
          </w:p>
          <w:p w14:paraId="32C39859" w14:textId="77777777" w:rsidR="00E97555" w:rsidRPr="00E97555" w:rsidRDefault="00E97555" w:rsidP="00E9755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-7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Уровень ответственности (устанавливаются согласно пункту 7 части 1 и части 7 статьи 4 Федерального закона от 30 декабря 2009 г. № 384-ФЗ «Технический регламент о безопасности зданий и сооружений» </w:t>
            </w:r>
          </w:p>
          <w:p w14:paraId="34D4744E" w14:textId="7F8D0828" w:rsidR="00C6265F" w:rsidRPr="00E97555" w:rsidRDefault="00E97555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II – нормальный.</w:t>
            </w:r>
          </w:p>
        </w:tc>
      </w:tr>
      <w:tr w:rsidR="00C6265F" w14:paraId="445A8DCA" w14:textId="77777777">
        <w:trPr>
          <w:trHeight w:val="20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C9CD" w14:textId="77777777" w:rsidR="00C6265F" w:rsidRPr="00E97555" w:rsidRDefault="005E3F46" w:rsidP="00E975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14. Требования к снабжению строительными материалами и конструкциями, а также к применению технологий, обязательства технического заказчика и взаимодействия с ним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B97B" w14:textId="77777777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14.1 В соответствии с Федеральным законом от 27.12.2002 № 184-ФЗ «О техническом регулировании».</w:t>
            </w:r>
          </w:p>
          <w:p w14:paraId="36C36EC3" w14:textId="77777777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14.2 Ведомость потребности и дальности перевозки основных строительных материалов и изделий определяет проектная организация и согласовывает с Заказчиком.</w:t>
            </w:r>
          </w:p>
          <w:p w14:paraId="027D08D5" w14:textId="77777777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14.3 Применение в проектной документации импортных машин, механизмов, оборудования, материалов, конструкций и технологий согласовать с Заказчиком. </w:t>
            </w:r>
          </w:p>
          <w:p w14:paraId="11C88CA1" w14:textId="77777777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14.4 Применить современные материалы и инновационные технологии.</w:t>
            </w:r>
          </w:p>
          <w:p w14:paraId="55C7A746" w14:textId="4756847A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14.5 Согласовать с Заказчиком транспортные схемы и источники получения основных ценообразующих строительных материалов, конструкций, изделий и оборудования, с приложением прайс-листов поставщиков продукции на объект строительства. В Транспортных схемах доставки материально-технических ресурсов следует отразить расположение станций и пристаней разгрузки, промежуточных складов, перевалочных баз и временных подъездных дорог, в том числе и временной дороги(г) вдоль трассы для сооружения конкретных объектов, входящих в комплекс строительства, а также сведения об условиях поставки и транспортированию с предприятий поставщиков строительных конструкций, готовых изделий, материалов и оборудования на эти объекты. </w:t>
            </w:r>
          </w:p>
          <w:p w14:paraId="67690E68" w14:textId="77777777" w:rsidR="00C6265F" w:rsidRPr="00E97555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E97555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транспортных схемах необходимо рассматривать различные варианты (2-3 шт.) источников получения основных ценообразующих строительных материалов, конструкций, изделий и оборудования.</w:t>
            </w:r>
          </w:p>
        </w:tc>
      </w:tr>
      <w:tr w:rsidR="00C6265F" w14:paraId="26C11B6B" w14:textId="77777777">
        <w:trPr>
          <w:trHeight w:val="113"/>
          <w:jc w:val="center"/>
        </w:trPr>
        <w:tc>
          <w:tcPr>
            <w:tcW w:w="1921" w:type="pct"/>
            <w:shd w:val="clear" w:color="auto" w:fill="auto"/>
          </w:tcPr>
          <w:p w14:paraId="61E135CE" w14:textId="51A5BF6C" w:rsidR="00C6265F" w:rsidRPr="00550194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15. Основные требования при разработке проектной документации, входящие в цену </w:t>
            </w:r>
            <w:r w:rsid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079" w:type="pct"/>
            <w:shd w:val="clear" w:color="auto" w:fill="auto"/>
          </w:tcPr>
          <w:p w14:paraId="17DA11BB" w14:textId="4337A985" w:rsidR="00C6265F" w:rsidRPr="00550194" w:rsidRDefault="00550194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Проектную документацию и результаты обследований предоставить в составе достаточном для оценки и подтверждения принятых технических решений и параметров, объемах и сметной стоимости строительства, предусмотренных настоящим Заданием и с учетом требований:</w:t>
            </w:r>
          </w:p>
          <w:p w14:paraId="608BCD75" w14:textId="63083B4D" w:rsidR="00C6265F" w:rsidRPr="00550194" w:rsidRDefault="00550194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Разработать проектную документацию в объеме, достаточном для принятия технических решений и параметров, предусмотренных настоящим Заданием; обоснования объемов и сметной стоимости объекта, в т.ч. стоимости компенсаций владельцам земельных участков и сносимых зданий и сооружений, а также стоимости переустройства коммуникаций; подготовки документов для 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осуществления процедур изъятия и предоставления земельных участков для размещения объекта. Получение положительных согласований, предусмотренных законодательством Российской Федерации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,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от Заказчика и от причастных организаций и служб. Проектно-сметную документацию согласовать с Заказчиком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  <w:p w14:paraId="02E85993" w14:textId="78C7DACE" w:rsidR="00C6265F" w:rsidRPr="00550194" w:rsidRDefault="00550194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ab/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Предоставлять пояснения, документы и обоснования по требованию экспертизы (в рамках действующего законодательства), вносить в документацию по результатам рассмотрения у заказчика и замечаниям экспертизы изменения и дополнения, не противоречащие действующим нормативным документам и данному Заданию, и приложениям к Заданию на проектирование объекта строительства без дополнительной оплаты.</w:t>
            </w:r>
          </w:p>
        </w:tc>
      </w:tr>
      <w:tr w:rsidR="00C6265F" w14:paraId="4EDD4A4A" w14:textId="77777777">
        <w:trPr>
          <w:trHeight w:val="113"/>
          <w:jc w:val="center"/>
        </w:trPr>
        <w:tc>
          <w:tcPr>
            <w:tcW w:w="1921" w:type="pct"/>
            <w:shd w:val="clear" w:color="auto" w:fill="auto"/>
          </w:tcPr>
          <w:p w14:paraId="605DEBB3" w14:textId="13655E57" w:rsidR="00C6265F" w:rsidRPr="00550194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 xml:space="preserve">16. Специальные требования к составу работ и оформлению проектной документации, входящие в цену </w:t>
            </w:r>
            <w:r w:rsid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079" w:type="pct"/>
            <w:shd w:val="clear" w:color="auto" w:fill="auto"/>
          </w:tcPr>
          <w:p w14:paraId="0E280A85" w14:textId="3A875D26" w:rsidR="00C6265F" w:rsidRDefault="00550194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16.1. 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Обеспечить соответствие разрабатываемой проектной документации требованиям действующих в РФ технических, технологических регламентов и нормативно-технических документов, в том числе ГОСТ Р 21.101-2020 «Система проектной документации для строительства. Основные требования к проектной и рабочей документации»;</w:t>
            </w:r>
          </w:p>
          <w:p w14:paraId="312857A6" w14:textId="109D29F0" w:rsidR="00C6265F" w:rsidRPr="00550194" w:rsidRDefault="00550194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16.</w:t>
            </w:r>
            <w:r w:rsidR="00210B4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. 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составе проектной документации разработать:</w:t>
            </w:r>
          </w:p>
          <w:p w14:paraId="55D28566" w14:textId="3070237D" w:rsidR="00227B06" w:rsidRDefault="00227B06" w:rsidP="00227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раздел «Пояснительная записка»;</w:t>
            </w:r>
          </w:p>
          <w:p w14:paraId="38DF04F4" w14:textId="590E4FFF" w:rsidR="00C6265F" w:rsidRDefault="00227B06" w:rsidP="00227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раздел «П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роект полосы отвода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</w:t>
            </w:r>
            <w:r w:rsidR="005E3F46"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;</w:t>
            </w:r>
          </w:p>
          <w:p w14:paraId="151FBE75" w14:textId="7D1E0C1C" w:rsidR="00227B06" w:rsidRDefault="00227B06" w:rsidP="00227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раздел «Т</w:t>
            </w:r>
            <w:r w:rsidRP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ехнологические и конструктивные решения линейного объекта. Искусственные сооружения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»;</w:t>
            </w:r>
          </w:p>
          <w:p w14:paraId="04C37906" w14:textId="14A268E8" w:rsidR="00227B06" w:rsidRDefault="00227B06" w:rsidP="00227B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раздел «</w:t>
            </w:r>
            <w:r w:rsidRP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Здания, строения и сооружения, входящие в инфраструктуру линейного объекта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 (при необходимости)</w:t>
            </w:r>
          </w:p>
          <w:p w14:paraId="05A8CB4E" w14:textId="1C3A043F" w:rsidR="00C6265F" w:rsidRPr="00550194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</w:t>
            </w:r>
            <w:r w:rsid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раздел </w:t>
            </w:r>
            <w:r w:rsid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«</w:t>
            </w: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 организации работ по сносу (демонтажу) линейного объекта</w:t>
            </w:r>
            <w:r w:rsid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</w:t>
            </w:r>
            <w:r w:rsidR="00D0193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(при необходимости)</w:t>
            </w:r>
            <w:r w:rsid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;</w:t>
            </w:r>
          </w:p>
          <w:p w14:paraId="17D54394" w14:textId="79D82450" w:rsidR="00C6265F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</w:t>
            </w:r>
            <w:r w:rsidR="00227B06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</w:t>
            </w: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раздел «Проект организации строительства»</w:t>
            </w:r>
            <w:r w:rsidR="00D0193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;</w:t>
            </w:r>
          </w:p>
          <w:p w14:paraId="39A24F8E" w14:textId="41E6AF03" w:rsidR="00D0193B" w:rsidRDefault="00D0193B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раздел «Смета на капитальный ремонт линейного объекта».</w:t>
            </w:r>
          </w:p>
          <w:p w14:paraId="49D4D61D" w14:textId="1C573B7B" w:rsidR="0088538B" w:rsidRDefault="0088538B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8538B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Разработать рабочую документацию по указанным разделам.</w:t>
            </w:r>
          </w:p>
          <w:p w14:paraId="3E444FC9" w14:textId="19A5E165" w:rsidR="00227B06" w:rsidRPr="00550194" w:rsidRDefault="00097AEC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соответствующих разделах представить:</w:t>
            </w:r>
          </w:p>
          <w:p w14:paraId="5F2D8609" w14:textId="50558DCD" w:rsidR="00C6265F" w:rsidRPr="00550194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-схему организации движения на период строительства, переноса коммуникаций, сносу, демонтажу зданий и сооружений и эксплуатации объекта</w:t>
            </w:r>
            <w:r w:rsidR="00503F97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;</w:t>
            </w:r>
          </w:p>
          <w:p w14:paraId="707BE4C7" w14:textId="77777777" w:rsidR="00C6265F" w:rsidRPr="00550194" w:rsidRDefault="005E3F46" w:rsidP="00550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-схему организации движения с объездом по существующим дорогам (при необходимости). Схему организации движения с объездом по существующим дорогам согласовать с органами; местного самоуправления, владельцами автомобильных дорог.</w:t>
            </w:r>
          </w:p>
          <w:p w14:paraId="39033719" w14:textId="3068AA14" w:rsidR="00C6265F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-исходные данные к разделам «Проект организации строительства» (ПОС) и сметной документации согласовать с Заказчиком. В разделе ПОС предусмотреть комплекс работ по подготовке территории строительства</w:t>
            </w:r>
            <w:r w:rsidR="00097AE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  <w:p w14:paraId="3A517F9B" w14:textId="5D52EE98" w:rsidR="00097AEC" w:rsidRPr="00550194" w:rsidRDefault="00097AEC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16.</w:t>
            </w:r>
            <w:r w:rsidR="00210B4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3</w:t>
            </w: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 Разработанных в рамках исполнения Договора проектных решений, информации, отраженной в разделах проектной документации должно быть достаточно для разработки сметной документации на капитальный ремонт Объекта и выполнения строительных работ по Объекту.</w:t>
            </w:r>
          </w:p>
          <w:p w14:paraId="118FA5EE" w14:textId="55209072" w:rsidR="00C6265F" w:rsidRPr="00550194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>16.</w:t>
            </w:r>
            <w:r w:rsidR="00210B49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4</w:t>
            </w:r>
            <w:r w:rsidR="00097AEC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  <w:r w:rsidRPr="00550194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Создать цифровую информационную модель.</w:t>
            </w:r>
          </w:p>
        </w:tc>
      </w:tr>
      <w:tr w:rsidR="00C6265F" w14:paraId="167CCF17" w14:textId="77777777">
        <w:trPr>
          <w:trHeight w:val="113"/>
          <w:jc w:val="center"/>
        </w:trPr>
        <w:tc>
          <w:tcPr>
            <w:tcW w:w="1921" w:type="pct"/>
            <w:shd w:val="clear" w:color="auto" w:fill="auto"/>
          </w:tcPr>
          <w:p w14:paraId="1A77E6E1" w14:textId="77777777" w:rsidR="00C6265F" w:rsidRPr="00865792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lastRenderedPageBreak/>
              <w:t xml:space="preserve">17. Прочие требования </w:t>
            </w:r>
          </w:p>
          <w:p w14:paraId="04E11218" w14:textId="77777777" w:rsidR="00C6265F" w:rsidRPr="00865792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 проектной документации, входящие в цену государственного контракта</w:t>
            </w:r>
          </w:p>
        </w:tc>
        <w:tc>
          <w:tcPr>
            <w:tcW w:w="3079" w:type="pct"/>
            <w:shd w:val="clear" w:color="auto" w:fill="auto"/>
          </w:tcPr>
          <w:p w14:paraId="48D027C2" w14:textId="77777777" w:rsidR="00C6265F" w:rsidRPr="00865792" w:rsidRDefault="005E3F46" w:rsidP="00865792">
            <w:pPr>
              <w:keepNext/>
              <w:numPr>
                <w:ilvl w:val="0"/>
                <w:numId w:val="13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22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 результатам определения перспективного состава и интенсивности движения рассмотреть возможность использования СП 243.1326000.2015 «Проектирование и строительство автомобильных дорог с низкой интенсивностью движения» в части, не противоречащей СП 34.13330.2021 «Автомобильные дороги».</w:t>
            </w:r>
          </w:p>
          <w:p w14:paraId="749214FD" w14:textId="77777777" w:rsidR="00C6265F" w:rsidRPr="00865792" w:rsidRDefault="005E3F46" w:rsidP="00865792">
            <w:pPr>
              <w:keepNext/>
              <w:numPr>
                <w:ilvl w:val="0"/>
                <w:numId w:val="13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22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План трассы выполнить в масштабах 1:500, 1:2000.</w:t>
            </w:r>
          </w:p>
          <w:p w14:paraId="233C341C" w14:textId="77777777" w:rsidR="00C6265F" w:rsidRPr="00865792" w:rsidRDefault="005E3F46" w:rsidP="00865792">
            <w:pPr>
              <w:keepNext/>
              <w:numPr>
                <w:ilvl w:val="0"/>
                <w:numId w:val="13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22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Сопровождение государственной экспертизы результатов инженерных изысканий и проектной документации осуществляется проектной организацией.</w:t>
            </w:r>
          </w:p>
          <w:p w14:paraId="3C5B529B" w14:textId="71C3504B" w:rsidR="00C6265F" w:rsidRPr="00865792" w:rsidRDefault="005E3F46" w:rsidP="00865792">
            <w:pPr>
              <w:keepNext/>
              <w:numPr>
                <w:ilvl w:val="0"/>
                <w:numId w:val="13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22" w:firstLine="0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Подрядчик предоставляет пояснения, документы и обоснования по требованию государственной экспертизы (в рамках действующего законодательства) и/или Заказчика, вносит в документацию по результатам рассмотрения у Заказчика и замечаниям государственной экспертизы изменения и дополнения, не противоречащие действующим нормативным документам и настоящему Заданию, и приложению к нему.</w:t>
            </w:r>
          </w:p>
        </w:tc>
      </w:tr>
      <w:tr w:rsidR="00C6265F" w14:paraId="54E5811C" w14:textId="77777777">
        <w:trPr>
          <w:trHeight w:val="113"/>
          <w:jc w:val="center"/>
        </w:trPr>
        <w:tc>
          <w:tcPr>
            <w:tcW w:w="1921" w:type="pct"/>
            <w:shd w:val="clear" w:color="auto" w:fill="auto"/>
          </w:tcPr>
          <w:p w14:paraId="49C1A7C9" w14:textId="77777777" w:rsidR="00C6265F" w:rsidRPr="00865792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18. Формы представления материалов для согласования</w:t>
            </w:r>
          </w:p>
        </w:tc>
        <w:tc>
          <w:tcPr>
            <w:tcW w:w="3079" w:type="pct"/>
            <w:shd w:val="clear" w:color="auto" w:fill="auto"/>
          </w:tcPr>
          <w:p w14:paraId="254EA390" w14:textId="2C8E95F2" w:rsidR="00C6265F" w:rsidRPr="00865792" w:rsidRDefault="005E3F46" w:rsidP="00865792">
            <w:pPr>
              <w:tabs>
                <w:tab w:val="left" w:pos="117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Промежуточные материалы проектов предоставляются Заказчику </w:t>
            </w:r>
            <w:r w:rsid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электронном виде</w:t>
            </w: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</w:tc>
      </w:tr>
      <w:tr w:rsidR="00C6265F" w14:paraId="734B90B1" w14:textId="77777777">
        <w:trPr>
          <w:trHeight w:val="113"/>
          <w:jc w:val="center"/>
        </w:trPr>
        <w:tc>
          <w:tcPr>
            <w:tcW w:w="1921" w:type="pct"/>
            <w:shd w:val="clear" w:color="auto" w:fill="auto"/>
          </w:tcPr>
          <w:p w14:paraId="0396F90D" w14:textId="77777777" w:rsidR="00C6265F" w:rsidRPr="00865792" w:rsidRDefault="005E3F46" w:rsidP="00865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19. Формы представления результатов выполненных работ, требования к оформлению комплектации и передача материалов Заказчику</w:t>
            </w:r>
          </w:p>
        </w:tc>
        <w:tc>
          <w:tcPr>
            <w:tcW w:w="3079" w:type="pct"/>
            <w:shd w:val="clear" w:color="auto" w:fill="auto"/>
          </w:tcPr>
          <w:p w14:paraId="51DD0E16" w14:textId="70DDB5FB" w:rsidR="00C6265F" w:rsidRPr="003A4F98" w:rsidRDefault="005E3F46" w:rsidP="003A4F98">
            <w:pPr>
              <w:pStyle w:val="a3"/>
              <w:keepNext/>
              <w:numPr>
                <w:ilvl w:val="1"/>
                <w:numId w:val="38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До прохождения государственной экспертизы промежуточные материалы проектной документации предоставляются:</w:t>
            </w:r>
          </w:p>
          <w:p w14:paraId="28723BD5" w14:textId="4334C2FF" w:rsidR="00C6265F" w:rsidRPr="00865792" w:rsidRDefault="005E3F46" w:rsidP="003A4F98">
            <w:pPr>
              <w:keepNext/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22"/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- 1 (один) </w:t>
            </w:r>
            <w:r w:rsidR="00810D0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печатный </w:t>
            </w: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экземпляр </w:t>
            </w:r>
            <w:r w:rsidR="00810D0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и </w:t>
            </w:r>
            <w:r w:rsidR="00810D03" w:rsidRPr="00810D0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1 (один) </w:t>
            </w:r>
            <w:r w:rsidR="00810D03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экземпляр </w:t>
            </w:r>
            <w:r w:rsidRPr="00865792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электронном виде</w:t>
            </w:r>
            <w:r w:rsidR="00646EF0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;</w:t>
            </w:r>
          </w:p>
          <w:p w14:paraId="3A9CC81D" w14:textId="5C4571C7" w:rsidR="00C6265F" w:rsidRPr="003A4F98" w:rsidRDefault="005E3F46" w:rsidP="003A4F98">
            <w:pPr>
              <w:pStyle w:val="a3"/>
              <w:keepNext/>
              <w:numPr>
                <w:ilvl w:val="1"/>
                <w:numId w:val="38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Проектная документация (в полном объеме), получившая положительное заключение государственной экспертизы, передается Заказчику в 4 (четырех) печатных экземплярах в отдельных томах или папках, в 2 (двух) экземплярах на электронном оптическом носителе.</w:t>
            </w:r>
          </w:p>
          <w:p w14:paraId="2BB5CEC3" w14:textId="269A7F03" w:rsidR="00C6265F" w:rsidRPr="003A4F98" w:rsidRDefault="005E3F46" w:rsidP="003A4F98">
            <w:pPr>
              <w:pStyle w:val="a3"/>
              <w:keepNext/>
              <w:numPr>
                <w:ilvl w:val="1"/>
                <w:numId w:val="38"/>
              </w:numPr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Копия на электронном оптическом носителе представляется в форматах доступных для редактирования (.dwg - для чертежей, .rtf, .doc, .</w:t>
            </w:r>
            <w:proofErr w:type="gramStart"/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txt ,</w:t>
            </w:r>
            <w:proofErr w:type="gramEnd"/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.xls для текстовых документов) и в формате *pdf, полностью идентичная печатному экземпляру. </w:t>
            </w:r>
          </w:p>
          <w:p w14:paraId="4140F032" w14:textId="414DEC6E" w:rsidR="00C6265F" w:rsidRPr="003A4F98" w:rsidRDefault="005E3F46" w:rsidP="003A4F98">
            <w:pPr>
              <w:pStyle w:val="a3"/>
              <w:keepNext/>
              <w:numPr>
                <w:ilvl w:val="1"/>
                <w:numId w:val="38"/>
              </w:numPr>
              <w:shd w:val="clear" w:color="auto" w:fill="FFFFFF"/>
              <w:tabs>
                <w:tab w:val="left" w:pos="-1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3A4F98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 случае если в проектной документации присутствует указание на товарный знак (конкретного производителя) товара, исполнитель обязан дополнить наименование данного товара словосочетанием или эквивалент и указать параметры эквивалентности используемого при выполнении работ товара, указание на товарный знак которого содержится в проектной документации. При этом указываются максимальные и (или) минимальные значения показателей и показатели, значения которых не могут изменяться.</w:t>
            </w:r>
          </w:p>
        </w:tc>
      </w:tr>
    </w:tbl>
    <w:p w14:paraId="444D268E" w14:textId="5A298C59" w:rsidR="00C6265F" w:rsidRDefault="00C6265F">
      <w:pPr>
        <w:tabs>
          <w:tab w:val="left" w:pos="76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RANGE!A1:P17"/>
      <w:bookmarkStart w:id="1" w:name="_GoBack"/>
      <w:bookmarkEnd w:id="0"/>
      <w:bookmarkEnd w:id="1"/>
    </w:p>
    <w:sectPr w:rsidR="00C6265F" w:rsidSect="00646E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AF8A9" w14:textId="77777777" w:rsidR="006303B2" w:rsidRDefault="006303B2">
      <w:pPr>
        <w:spacing w:after="0" w:line="240" w:lineRule="auto"/>
      </w:pPr>
      <w:r>
        <w:separator/>
      </w:r>
    </w:p>
  </w:endnote>
  <w:endnote w:type="continuationSeparator" w:id="0">
    <w:p w14:paraId="1F8A4720" w14:textId="77777777" w:rsidR="006303B2" w:rsidRDefault="0063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7"/>
    </w:tblGrid>
    <w:tr w:rsidR="00E44310" w:rsidRPr="007761B6" w14:paraId="11FBC864" w14:textId="77777777" w:rsidTr="00936115">
      <w:tc>
        <w:tcPr>
          <w:tcW w:w="4919" w:type="dxa"/>
        </w:tcPr>
        <w:p w14:paraId="31B5776D" w14:textId="77777777" w:rsidR="00E44310" w:rsidRPr="007761B6" w:rsidRDefault="00E44310" w:rsidP="00E44310">
          <w:pPr>
            <w:pStyle w:val="a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Заказчик ____________________</w:t>
          </w:r>
        </w:p>
      </w:tc>
      <w:tc>
        <w:tcPr>
          <w:tcW w:w="4919" w:type="dxa"/>
        </w:tcPr>
        <w:p w14:paraId="19B36379" w14:textId="77777777" w:rsidR="00E44310" w:rsidRPr="007761B6" w:rsidRDefault="00E44310" w:rsidP="00E44310">
          <w:pPr>
            <w:pStyle w:val="a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Подрядчик</w:t>
          </w:r>
          <w:r w:rsidRPr="007761B6">
            <w:rPr>
              <w:rFonts w:ascii="Arial Narrow" w:hAnsi="Arial Narrow"/>
            </w:rPr>
            <w:t xml:space="preserve"> ____________________</w:t>
          </w:r>
        </w:p>
      </w:tc>
    </w:tr>
  </w:tbl>
  <w:p w14:paraId="545BB545" w14:textId="77777777" w:rsidR="00865792" w:rsidRDefault="0086579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7"/>
    </w:tblGrid>
    <w:tr w:rsidR="00E44310" w:rsidRPr="007761B6" w14:paraId="14DE5D7E" w14:textId="77777777" w:rsidTr="00936115">
      <w:tc>
        <w:tcPr>
          <w:tcW w:w="4919" w:type="dxa"/>
        </w:tcPr>
        <w:p w14:paraId="7B1F38A6" w14:textId="77777777" w:rsidR="00E44310" w:rsidRPr="007761B6" w:rsidRDefault="00E44310" w:rsidP="00E44310">
          <w:pPr>
            <w:pStyle w:val="a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Заказчик ____________________</w:t>
          </w:r>
        </w:p>
      </w:tc>
      <w:tc>
        <w:tcPr>
          <w:tcW w:w="4919" w:type="dxa"/>
        </w:tcPr>
        <w:p w14:paraId="77CD2A58" w14:textId="77777777" w:rsidR="00E44310" w:rsidRPr="007761B6" w:rsidRDefault="00E44310" w:rsidP="00E44310">
          <w:pPr>
            <w:pStyle w:val="aa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Подрядчик</w:t>
          </w:r>
          <w:r w:rsidRPr="007761B6">
            <w:rPr>
              <w:rFonts w:ascii="Arial Narrow" w:hAnsi="Arial Narrow"/>
            </w:rPr>
            <w:t xml:space="preserve"> ____________________</w:t>
          </w:r>
        </w:p>
      </w:tc>
    </w:tr>
  </w:tbl>
  <w:p w14:paraId="37DE7501" w14:textId="77777777" w:rsidR="00E44310" w:rsidRDefault="00E443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D8D1" w14:textId="77777777" w:rsidR="006303B2" w:rsidRDefault="006303B2">
      <w:pPr>
        <w:spacing w:after="0" w:line="240" w:lineRule="auto"/>
      </w:pPr>
      <w:r>
        <w:separator/>
      </w:r>
    </w:p>
  </w:footnote>
  <w:footnote w:type="continuationSeparator" w:id="0">
    <w:p w14:paraId="029C8E54" w14:textId="77777777" w:rsidR="006303B2" w:rsidRDefault="0063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9C27" w14:textId="62AFE3C3" w:rsidR="00E44310" w:rsidRPr="00047061" w:rsidRDefault="00047061" w:rsidP="00047061">
    <w:pPr>
      <w:pStyle w:val="a8"/>
      <w:jc w:val="right"/>
      <w:rPr>
        <w:rFonts w:ascii="Arial Narrow" w:hAnsi="Arial Narrow"/>
      </w:rPr>
    </w:pPr>
    <w:r>
      <w:rPr>
        <w:rFonts w:ascii="Arial Narrow" w:hAnsi="Arial Narrow"/>
      </w:rPr>
      <w:t xml:space="preserve">Приложение № 1.6 к договору </w:t>
    </w:r>
    <w:r w:rsidRPr="00D0193B">
      <w:rPr>
        <w:rFonts w:ascii="Arial Narrow" w:hAnsi="Arial Narrow"/>
      </w:rPr>
      <w:t>№ 22021/4</w:t>
    </w:r>
    <w:r>
      <w:rPr>
        <w:rFonts w:ascii="Arial Narrow" w:hAnsi="Arial Narrow"/>
      </w:rPr>
      <w:t>/7</w:t>
    </w:r>
    <w:r w:rsidRPr="00D0193B">
      <w:rPr>
        <w:rFonts w:ascii="Arial Narrow" w:hAnsi="Arial Narrow"/>
      </w:rPr>
      <w:t xml:space="preserve">/10-12/17суб.2 от </w:t>
    </w:r>
    <w:r>
      <w:rPr>
        <w:rFonts w:ascii="Arial Narrow" w:hAnsi="Arial Narrow"/>
      </w:rPr>
      <w:t>06</w:t>
    </w:r>
    <w:r w:rsidRPr="00D0193B">
      <w:rPr>
        <w:rFonts w:ascii="Arial Narrow" w:hAnsi="Arial Narrow"/>
      </w:rPr>
      <w:t>.0</w:t>
    </w:r>
    <w:r>
      <w:rPr>
        <w:rFonts w:ascii="Arial Narrow" w:hAnsi="Arial Narrow"/>
      </w:rPr>
      <w:t>3</w:t>
    </w:r>
    <w:r w:rsidRPr="00D0193B">
      <w:rPr>
        <w:rFonts w:ascii="Arial Narrow" w:hAnsi="Arial Narrow"/>
      </w:rPr>
      <w:t>.2023г.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9A52" w14:textId="456AA202" w:rsidR="00E44310" w:rsidRPr="00047061" w:rsidRDefault="00047061" w:rsidP="00047061">
    <w:pPr>
      <w:pStyle w:val="a8"/>
      <w:jc w:val="right"/>
      <w:rPr>
        <w:rFonts w:ascii="Arial Narrow" w:hAnsi="Arial Narrow"/>
      </w:rPr>
    </w:pPr>
    <w:bookmarkStart w:id="2" w:name="_Hlk128748262"/>
    <w:bookmarkStart w:id="3" w:name="_Hlk128748263"/>
    <w:bookmarkStart w:id="4" w:name="_Hlk128748447"/>
    <w:bookmarkStart w:id="5" w:name="_Hlk128748448"/>
    <w:bookmarkStart w:id="6" w:name="_Hlk128748584"/>
    <w:bookmarkStart w:id="7" w:name="_Hlk128748585"/>
    <w:r>
      <w:rPr>
        <w:rFonts w:ascii="Arial Narrow" w:hAnsi="Arial Narrow"/>
      </w:rPr>
      <w:t xml:space="preserve">Приложение № 1.6 к договору </w:t>
    </w:r>
    <w:r w:rsidRPr="00D0193B">
      <w:rPr>
        <w:rFonts w:ascii="Arial Narrow" w:hAnsi="Arial Narrow"/>
      </w:rPr>
      <w:t>№ 22021/4</w:t>
    </w:r>
    <w:r>
      <w:rPr>
        <w:rFonts w:ascii="Arial Narrow" w:hAnsi="Arial Narrow"/>
      </w:rPr>
      <w:t>/7</w:t>
    </w:r>
    <w:r w:rsidRPr="00D0193B">
      <w:rPr>
        <w:rFonts w:ascii="Arial Narrow" w:hAnsi="Arial Narrow"/>
      </w:rPr>
      <w:t xml:space="preserve">/10-12/17суб.2 от </w:t>
    </w:r>
    <w:r>
      <w:rPr>
        <w:rFonts w:ascii="Arial Narrow" w:hAnsi="Arial Narrow"/>
      </w:rPr>
      <w:t>06</w:t>
    </w:r>
    <w:r w:rsidRPr="00D0193B">
      <w:rPr>
        <w:rFonts w:ascii="Arial Narrow" w:hAnsi="Arial Narrow"/>
      </w:rPr>
      <w:t>.0</w:t>
    </w:r>
    <w:r>
      <w:rPr>
        <w:rFonts w:ascii="Arial Narrow" w:hAnsi="Arial Narrow"/>
      </w:rPr>
      <w:t>3</w:t>
    </w:r>
    <w:r w:rsidRPr="00D0193B">
      <w:rPr>
        <w:rFonts w:ascii="Arial Narrow" w:hAnsi="Arial Narrow"/>
      </w:rPr>
      <w:t>.2023г.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38AE88A"/>
    <w:lvl w:ilvl="0" w:tplc="B246CC8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4AC1CCC"/>
    <w:lvl w:ilvl="0" w:tplc="16BEBF4A">
      <w:start w:val="1"/>
      <w:numFmt w:val="decimal"/>
      <w:lvlText w:val="16.%1."/>
      <w:lvlJc w:val="left"/>
      <w:pPr>
        <w:ind w:left="11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0000003"/>
    <w:multiLevelType w:val="hybridMultilevel"/>
    <w:tmpl w:val="2CFAFFDE"/>
    <w:lvl w:ilvl="0" w:tplc="CF42C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7BC485D2"/>
    <w:lvl w:ilvl="0" w:tplc="76B6B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E2168C">
      <w:start w:val="1"/>
      <w:numFmt w:val="decimal"/>
      <w:lvlText w:val="1.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32B6E7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06"/>
    <w:multiLevelType w:val="hybridMultilevel"/>
    <w:tmpl w:val="5768A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multilevel"/>
    <w:tmpl w:val="6EF2C8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8"/>
    <w:multiLevelType w:val="hybridMultilevel"/>
    <w:tmpl w:val="08BC562A"/>
    <w:lvl w:ilvl="0" w:tplc="4A5C2750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EA60E42"/>
    <w:lvl w:ilvl="0" w:tplc="2AFEA396">
      <w:start w:val="1"/>
      <w:numFmt w:val="decimal"/>
      <w:lvlText w:val="5.%1."/>
      <w:lvlJc w:val="left"/>
      <w:pPr>
        <w:ind w:left="869" w:hanging="360"/>
      </w:pPr>
      <w:rPr>
        <w:rFonts w:hint="default"/>
      </w:rPr>
    </w:lvl>
    <w:lvl w:ilvl="1" w:tplc="18D62ADE">
      <w:start w:val="1"/>
      <w:numFmt w:val="decimal"/>
      <w:lvlText w:val="6.%2."/>
      <w:lvlJc w:val="left"/>
      <w:pPr>
        <w:ind w:left="15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" w15:restartNumberingAfterBreak="0">
    <w:nsid w:val="0000000A"/>
    <w:multiLevelType w:val="hybridMultilevel"/>
    <w:tmpl w:val="55E8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multilevel"/>
    <w:tmpl w:val="61B0274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C"/>
    <w:multiLevelType w:val="multilevel"/>
    <w:tmpl w:val="943899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032ACDE6"/>
    <w:lvl w:ilvl="0" w:tplc="56D240CA">
      <w:start w:val="1"/>
      <w:numFmt w:val="decimal"/>
      <w:lvlText w:val="2.%1."/>
      <w:lvlJc w:val="left"/>
      <w:pPr>
        <w:ind w:left="869" w:hanging="360"/>
      </w:pPr>
      <w:rPr>
        <w:rFonts w:hint="default"/>
        <w:b w:val="0"/>
      </w:rPr>
    </w:lvl>
    <w:lvl w:ilvl="1" w:tplc="29E6E28C">
      <w:start w:val="1"/>
      <w:numFmt w:val="decimal"/>
      <w:lvlText w:val="%2."/>
      <w:lvlJc w:val="left"/>
      <w:pPr>
        <w:ind w:left="15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0000000E"/>
    <w:multiLevelType w:val="hybridMultilevel"/>
    <w:tmpl w:val="A546E262"/>
    <w:lvl w:ilvl="0" w:tplc="BF8AB6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D1E030C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multilevel"/>
    <w:tmpl w:val="A7E806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0000011"/>
    <w:multiLevelType w:val="multilevel"/>
    <w:tmpl w:val="F4ACEE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0000012"/>
    <w:multiLevelType w:val="multilevel"/>
    <w:tmpl w:val="B28A05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0000013"/>
    <w:multiLevelType w:val="hybridMultilevel"/>
    <w:tmpl w:val="501E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B06A407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56" w:hanging="1800"/>
      </w:pPr>
      <w:rPr>
        <w:rFonts w:hint="default"/>
      </w:rPr>
    </w:lvl>
  </w:abstractNum>
  <w:abstractNum w:abstractNumId="20" w15:restartNumberingAfterBreak="0">
    <w:nsid w:val="00000015"/>
    <w:multiLevelType w:val="multilevel"/>
    <w:tmpl w:val="D174D34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0000016"/>
    <w:multiLevelType w:val="hybridMultilevel"/>
    <w:tmpl w:val="3ADC8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9DF8C20C"/>
    <w:lvl w:ilvl="0" w:tplc="A90CAC7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8"/>
    <w:multiLevelType w:val="hybridMultilevel"/>
    <w:tmpl w:val="BC965F90"/>
    <w:lvl w:ilvl="0" w:tplc="04190011">
      <w:start w:val="1"/>
      <w:numFmt w:val="decimal"/>
      <w:lvlText w:val="%1)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4" w15:restartNumberingAfterBreak="0">
    <w:nsid w:val="00000019"/>
    <w:multiLevelType w:val="hybridMultilevel"/>
    <w:tmpl w:val="2B604D6A"/>
    <w:lvl w:ilvl="0" w:tplc="9AC4E006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E0EEB640">
      <w:start w:val="1"/>
      <w:numFmt w:val="decimal"/>
      <w:lvlText w:val="4.%2."/>
      <w:lvlJc w:val="left"/>
      <w:pPr>
        <w:ind w:left="15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5" w15:restartNumberingAfterBreak="0">
    <w:nsid w:val="0000001A"/>
    <w:multiLevelType w:val="multilevel"/>
    <w:tmpl w:val="047C7A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000001B"/>
    <w:multiLevelType w:val="hybridMultilevel"/>
    <w:tmpl w:val="80E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EBD0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multilevel"/>
    <w:tmpl w:val="39F0F7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000001E"/>
    <w:multiLevelType w:val="hybridMultilevel"/>
    <w:tmpl w:val="CD84C2D2"/>
    <w:lvl w:ilvl="0" w:tplc="799A6BCC">
      <w:start w:val="1"/>
      <w:numFmt w:val="decimal"/>
      <w:suff w:val="space"/>
      <w:lvlText w:val="15.%1."/>
      <w:lvlJc w:val="left"/>
      <w:pPr>
        <w:ind w:left="4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0000001F"/>
    <w:multiLevelType w:val="multilevel"/>
    <w:tmpl w:val="D60C12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0000020"/>
    <w:multiLevelType w:val="multilevel"/>
    <w:tmpl w:val="3090601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0000021"/>
    <w:multiLevelType w:val="hybridMultilevel"/>
    <w:tmpl w:val="1130CF9E"/>
    <w:lvl w:ilvl="0" w:tplc="863C2E70">
      <w:start w:val="1"/>
      <w:numFmt w:val="decimal"/>
      <w:suff w:val="space"/>
      <w:lvlText w:val="17.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 w15:restartNumberingAfterBreak="0">
    <w:nsid w:val="00000022"/>
    <w:multiLevelType w:val="hybridMultilevel"/>
    <w:tmpl w:val="329CFD76"/>
    <w:lvl w:ilvl="0" w:tplc="9E84A116">
      <w:start w:val="1"/>
      <w:numFmt w:val="decimal"/>
      <w:suff w:val="space"/>
      <w:lvlText w:val="13.1.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4" w15:restartNumberingAfterBreak="0">
    <w:nsid w:val="00000023"/>
    <w:multiLevelType w:val="multilevel"/>
    <w:tmpl w:val="E2DA63AE"/>
    <w:lvl w:ilvl="0">
      <w:start w:val="1"/>
      <w:numFmt w:val="decimal"/>
      <w:suff w:val="space"/>
      <w:lvlText w:val="17.2.%1."/>
      <w:lvlJc w:val="left"/>
      <w:pPr>
        <w:ind w:left="780" w:hanging="360"/>
      </w:pPr>
      <w:rPr>
        <w:rFonts w:hint="default"/>
        <w:b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5" w15:restartNumberingAfterBreak="0">
    <w:nsid w:val="049B5313"/>
    <w:multiLevelType w:val="multilevel"/>
    <w:tmpl w:val="960232BE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" w:hanging="1800"/>
      </w:pPr>
      <w:rPr>
        <w:rFonts w:hint="default"/>
      </w:rPr>
    </w:lvl>
  </w:abstractNum>
  <w:abstractNum w:abstractNumId="36" w15:restartNumberingAfterBreak="0">
    <w:nsid w:val="46E16E9C"/>
    <w:multiLevelType w:val="hybridMultilevel"/>
    <w:tmpl w:val="C3D2DB36"/>
    <w:lvl w:ilvl="0" w:tplc="68341CA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33"/>
  </w:num>
  <w:num w:numId="5">
    <w:abstractNumId w:val="26"/>
  </w:num>
  <w:num w:numId="6">
    <w:abstractNumId w:val="3"/>
  </w:num>
  <w:num w:numId="7">
    <w:abstractNumId w:val="12"/>
  </w:num>
  <w:num w:numId="8">
    <w:abstractNumId w:val="24"/>
  </w:num>
  <w:num w:numId="9">
    <w:abstractNumId w:val="8"/>
  </w:num>
  <w:num w:numId="10">
    <w:abstractNumId w:val="34"/>
  </w:num>
  <w:num w:numId="11">
    <w:abstractNumId w:val="0"/>
  </w:num>
  <w:num w:numId="12">
    <w:abstractNumId w:val="1"/>
  </w:num>
  <w:num w:numId="13">
    <w:abstractNumId w:val="32"/>
  </w:num>
  <w:num w:numId="14">
    <w:abstractNumId w:val="14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9"/>
  </w:num>
  <w:num w:numId="19">
    <w:abstractNumId w:val="19"/>
  </w:num>
  <w:num w:numId="20">
    <w:abstractNumId w:val="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1"/>
  </w:num>
  <w:num w:numId="24">
    <w:abstractNumId w:val="16"/>
  </w:num>
  <w:num w:numId="25">
    <w:abstractNumId w:val="6"/>
  </w:num>
  <w:num w:numId="26">
    <w:abstractNumId w:val="17"/>
  </w:num>
  <w:num w:numId="27">
    <w:abstractNumId w:val="28"/>
  </w:num>
  <w:num w:numId="28">
    <w:abstractNumId w:val="15"/>
  </w:num>
  <w:num w:numId="29">
    <w:abstractNumId w:val="10"/>
  </w:num>
  <w:num w:numId="30">
    <w:abstractNumId w:val="4"/>
  </w:num>
  <w:num w:numId="31">
    <w:abstractNumId w:val="20"/>
  </w:num>
  <w:num w:numId="32">
    <w:abstractNumId w:val="25"/>
  </w:num>
  <w:num w:numId="33">
    <w:abstractNumId w:val="31"/>
  </w:num>
  <w:num w:numId="34">
    <w:abstractNumId w:val="30"/>
  </w:num>
  <w:num w:numId="35">
    <w:abstractNumId w:val="27"/>
  </w:num>
  <w:num w:numId="36">
    <w:abstractNumId w:val="21"/>
  </w:num>
  <w:num w:numId="37">
    <w:abstractNumId w:val="2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F"/>
    <w:rsid w:val="00047061"/>
    <w:rsid w:val="00097AEC"/>
    <w:rsid w:val="000D6926"/>
    <w:rsid w:val="00115203"/>
    <w:rsid w:val="00210B49"/>
    <w:rsid w:val="00227561"/>
    <w:rsid w:val="00227B06"/>
    <w:rsid w:val="00236346"/>
    <w:rsid w:val="002C1063"/>
    <w:rsid w:val="003A2523"/>
    <w:rsid w:val="003A4F98"/>
    <w:rsid w:val="003C3ECA"/>
    <w:rsid w:val="003D637D"/>
    <w:rsid w:val="00503F97"/>
    <w:rsid w:val="00550194"/>
    <w:rsid w:val="00565CA9"/>
    <w:rsid w:val="0057470A"/>
    <w:rsid w:val="005D5967"/>
    <w:rsid w:val="005E3F46"/>
    <w:rsid w:val="006303B2"/>
    <w:rsid w:val="00646EF0"/>
    <w:rsid w:val="00656340"/>
    <w:rsid w:val="0069732F"/>
    <w:rsid w:val="006C6DFC"/>
    <w:rsid w:val="007E7D3A"/>
    <w:rsid w:val="007F3C7D"/>
    <w:rsid w:val="007F7B30"/>
    <w:rsid w:val="00810D03"/>
    <w:rsid w:val="0084217F"/>
    <w:rsid w:val="008534E1"/>
    <w:rsid w:val="00865792"/>
    <w:rsid w:val="0088538B"/>
    <w:rsid w:val="00926519"/>
    <w:rsid w:val="00A070C9"/>
    <w:rsid w:val="00A92B40"/>
    <w:rsid w:val="00B46ADD"/>
    <w:rsid w:val="00B9781C"/>
    <w:rsid w:val="00C6265F"/>
    <w:rsid w:val="00C708E3"/>
    <w:rsid w:val="00C7597C"/>
    <w:rsid w:val="00C76D91"/>
    <w:rsid w:val="00D0193B"/>
    <w:rsid w:val="00D559D5"/>
    <w:rsid w:val="00DE7769"/>
    <w:rsid w:val="00E01137"/>
    <w:rsid w:val="00E44310"/>
    <w:rsid w:val="00E73766"/>
    <w:rsid w:val="00E74E05"/>
    <w:rsid w:val="00E97555"/>
    <w:rsid w:val="00ED3EFF"/>
    <w:rsid w:val="00F914C5"/>
    <w:rsid w:val="00FB2425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20708"/>
  <w15:docId w15:val="{F1B98391-87D9-4957-A6CA-3FCF696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customStyle="1" w:styleId="12">
    <w:name w:val="стиль12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B3B3B"/>
      <w:sz w:val="24"/>
      <w:szCs w:val="24"/>
      <w:lang w:eastAsia="ru-RU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pPr>
      <w:tabs>
        <w:tab w:val="left" w:pos="1173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"/>
    <w:link w:val="22"/>
    <w:uiPriority w:val="99"/>
    <w:pPr>
      <w:keepNext/>
      <w:shd w:val="clear" w:color="auto" w:fill="FFFFFF"/>
      <w:tabs>
        <w:tab w:val="left" w:pos="217"/>
        <w:tab w:val="left" w:pos="2736"/>
      </w:tabs>
      <w:overflowPunct w:val="0"/>
      <w:autoSpaceDE w:val="0"/>
      <w:autoSpaceDN w:val="0"/>
      <w:adjustRightInd w:val="0"/>
      <w:spacing w:after="0" w:line="20" w:lineRule="atLeast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paragraph" w:styleId="3">
    <w:name w:val="Body Text 3"/>
    <w:basedOn w:val="a"/>
    <w:link w:val="30"/>
    <w:uiPriority w:val="99"/>
    <w:pPr>
      <w:keepNext/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trike/>
      <w:color w:val="FF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Pr>
      <w:rFonts w:ascii="Times New Roman" w:hAnsi="Times New Roman"/>
      <w:strike/>
      <w:color w:val="FF0000"/>
      <w:sz w:val="24"/>
      <w:szCs w:val="24"/>
      <w:lang w:eastAsia="en-US"/>
    </w:rPr>
  </w:style>
  <w:style w:type="character" w:styleId="ae">
    <w:name w:val="annotation reference"/>
    <w:basedOn w:val="a0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Pr>
      <w:b/>
      <w:bCs/>
      <w:lang w:eastAsia="en-US"/>
    </w:rPr>
  </w:style>
  <w:style w:type="character" w:customStyle="1" w:styleId="a4">
    <w:name w:val="Абзац списка Знак"/>
    <w:link w:val="a3"/>
    <w:uiPriority w:val="3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SimSun" w:hAnsi="Cambria" w:cs="SimSun"/>
      <w:color w:val="365F91"/>
      <w:sz w:val="26"/>
      <w:szCs w:val="26"/>
      <w:lang w:eastAsia="en-US"/>
    </w:rPr>
  </w:style>
  <w:style w:type="paragraph" w:styleId="af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hAnsi="Times New Roman"/>
      <w:sz w:val="24"/>
      <w:szCs w:val="24"/>
      <w:lang w:eastAsia="en-US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table" w:styleId="af4">
    <w:name w:val="Table Grid"/>
    <w:basedOn w:val="a1"/>
    <w:uiPriority w:val="59"/>
    <w:rsid w:val="00E443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55044-0A3C-43C6-8F33-72F390C1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Бурлов</cp:lastModifiedBy>
  <cp:revision>8</cp:revision>
  <cp:lastPrinted>2022-10-24T15:10:00Z</cp:lastPrinted>
  <dcterms:created xsi:type="dcterms:W3CDTF">2023-02-28T11:51:00Z</dcterms:created>
  <dcterms:modified xsi:type="dcterms:W3CDTF">2023-03-03T17:35:00Z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28747ec7c86345dfbe90bea9afcbd8c9</vt:lpwstr>
  </property>
</Properties>
</file>