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D1" w:rsidRDefault="00642FD1" w:rsidP="00642FD1">
      <w:pPr>
        <w:spacing w:after="0"/>
        <w:jc w:val="center"/>
        <w:rPr>
          <w:b/>
          <w:bCs/>
          <w:sz w:val="22"/>
          <w:szCs w:val="22"/>
        </w:rPr>
      </w:pPr>
      <w:r w:rsidRPr="00924EFC">
        <w:rPr>
          <w:b/>
          <w:bCs/>
          <w:sz w:val="22"/>
          <w:szCs w:val="22"/>
        </w:rPr>
        <w:t xml:space="preserve">ТЕХНИЧЕСКОЕ ЗАДАНИЕ </w:t>
      </w:r>
    </w:p>
    <w:p w:rsidR="00642FD1" w:rsidRPr="00924EFC" w:rsidRDefault="00642FD1" w:rsidP="00642FD1">
      <w:pPr>
        <w:widowControl w:val="0"/>
        <w:spacing w:after="0"/>
        <w:jc w:val="center"/>
        <w:rPr>
          <w:b/>
          <w:caps/>
          <w:sz w:val="22"/>
          <w:szCs w:val="22"/>
        </w:rPr>
      </w:pPr>
      <w:r w:rsidRPr="00C94E93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в</w:t>
      </w:r>
      <w:r w:rsidRPr="001E284E">
        <w:rPr>
          <w:b/>
          <w:bCs/>
          <w:sz w:val="22"/>
          <w:szCs w:val="22"/>
        </w:rPr>
        <w:t>ыполнение работ по разработке проектной документации для выполнения работ по капитальному ремонту фонтана в сквере им. 30 лет ВЛКСМ в городе Омске</w:t>
      </w:r>
    </w:p>
    <w:p w:rsidR="00642FD1" w:rsidRPr="00924EFC" w:rsidRDefault="00642FD1" w:rsidP="00642FD1">
      <w:pPr>
        <w:widowControl w:val="0"/>
        <w:tabs>
          <w:tab w:val="left" w:pos="720"/>
          <w:tab w:val="left" w:pos="1134"/>
        </w:tabs>
        <w:spacing w:after="0"/>
        <w:ind w:firstLine="567"/>
        <w:jc w:val="center"/>
        <w:rPr>
          <w:b/>
          <w:sz w:val="22"/>
          <w:szCs w:val="22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725"/>
      </w:tblGrid>
      <w:tr w:rsidR="00642FD1" w:rsidRPr="00D27293" w:rsidTr="00642FD1">
        <w:trPr>
          <w:trHeight w:val="630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</w:pPr>
            <w:r w:rsidRPr="00D27293">
              <w:t>№ п/п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  <w:jc w:val="center"/>
            </w:pPr>
            <w:r w:rsidRPr="00D27293">
              <w:t>Перечень основных данных требований</w:t>
            </w:r>
          </w:p>
        </w:tc>
        <w:tc>
          <w:tcPr>
            <w:tcW w:w="6725" w:type="dxa"/>
            <w:vAlign w:val="center"/>
          </w:tcPr>
          <w:p w:rsidR="00642FD1" w:rsidRPr="00D27293" w:rsidRDefault="00642FD1" w:rsidP="00F840E2">
            <w:pPr>
              <w:spacing w:after="0"/>
              <w:jc w:val="center"/>
            </w:pPr>
          </w:p>
          <w:p w:rsidR="00642FD1" w:rsidRPr="00D27293" w:rsidRDefault="00642FD1" w:rsidP="00F840E2">
            <w:pPr>
              <w:spacing w:after="0"/>
              <w:jc w:val="center"/>
            </w:pPr>
            <w:r w:rsidRPr="00D27293">
              <w:t>Содержание основных данных и требований</w:t>
            </w:r>
          </w:p>
        </w:tc>
      </w:tr>
      <w:tr w:rsidR="00642FD1" w:rsidRPr="00D27293" w:rsidTr="00642FD1">
        <w:trPr>
          <w:trHeight w:val="630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</w:pPr>
            <w:r w:rsidRPr="00D27293">
              <w:t>1.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t>Наименование и местонахождение объекта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widowControl w:val="0"/>
              <w:tabs>
                <w:tab w:val="left" w:pos="720"/>
                <w:tab w:val="left" w:pos="1134"/>
              </w:tabs>
              <w:spacing w:after="0"/>
            </w:pPr>
            <w:r w:rsidRPr="00D27293">
              <w:t>Фонтан по адресу: Омская область, г. Омск, сквер им. 30 лет ВЛКСМ</w:t>
            </w:r>
          </w:p>
          <w:p w:rsidR="00642FD1" w:rsidRPr="00D27293" w:rsidRDefault="00642FD1" w:rsidP="00F840E2">
            <w:pPr>
              <w:spacing w:after="0"/>
              <w:jc w:val="center"/>
            </w:pPr>
          </w:p>
        </w:tc>
      </w:tr>
      <w:tr w:rsidR="00642FD1" w:rsidRPr="00D27293" w:rsidTr="00642FD1">
        <w:trPr>
          <w:trHeight w:val="630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</w:pPr>
            <w:r w:rsidRPr="00D27293">
              <w:t>2.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t>Объем проектирования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pacing w:after="0"/>
            </w:pPr>
            <w:r w:rsidRPr="00D27293">
              <w:t>Проектная и рабочая документация</w:t>
            </w:r>
          </w:p>
        </w:tc>
      </w:tr>
      <w:tr w:rsidR="00642FD1" w:rsidRPr="00D27293" w:rsidTr="00642FD1">
        <w:trPr>
          <w:trHeight w:val="412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</w:pPr>
            <w:r w:rsidRPr="00D27293">
              <w:t>3.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t>Сроки проектирования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pacing w:after="0"/>
            </w:pPr>
            <w:r w:rsidRPr="00D27293">
              <w:t xml:space="preserve">90 рабочих дней с даты заключения контракта. </w:t>
            </w:r>
          </w:p>
        </w:tc>
      </w:tr>
      <w:tr w:rsidR="00642FD1" w:rsidRPr="00D27293" w:rsidTr="00642FD1">
        <w:trPr>
          <w:trHeight w:val="409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</w:pPr>
            <w:r w:rsidRPr="00D27293">
              <w:t>4.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t xml:space="preserve">Сроки капитального ремонта 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pacing w:after="0"/>
            </w:pPr>
            <w:r w:rsidRPr="00D27293">
              <w:t xml:space="preserve">2023  год </w:t>
            </w:r>
          </w:p>
        </w:tc>
      </w:tr>
      <w:tr w:rsidR="00642FD1" w:rsidRPr="00D27293" w:rsidTr="00642FD1">
        <w:trPr>
          <w:trHeight w:val="1439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</w:pPr>
            <w:r w:rsidRPr="00D27293">
              <w:t>5.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t>Назначение и основные показатели объектов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pacing w:after="0"/>
              <w:rPr>
                <w:b/>
              </w:rPr>
            </w:pPr>
            <w:r w:rsidRPr="00D27293">
              <w:rPr>
                <w:b/>
              </w:rPr>
              <w:t>Фонтан в сквере  им. 30 лет ВЛКСМ  (</w:t>
            </w:r>
            <w:r w:rsidRPr="00D27293">
              <w:t>кадастровый номер: 55:36:090108:5481).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 xml:space="preserve">Фонтан «Изобилие» расположен  в сквере, в границах улиц: проспект К. Маркса –  Маяковского – Театральная – Потанина.  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>Кадастровый номер  земельного участка - 55:36:090201:2062.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 xml:space="preserve">Год постройки – 1956.  Сооружение представляет собой шар (из двух полушарий) в подвазнике на подставке (ложементе) из чугунного литья с барельефном постаменте и цоколе из природного камня. В декоративной чаше  размещены 4 вазы  на подставках из чугунного литья и цоколях из природного камня. Фонтан окружен декоративной чашей  из железобетона облицованного гранитом (цвет - красный). Глубина чаши – 0,8 м. Дренажный приток на дне чаши, перекрытый самоудерживающей решеткой. Площадь застройки  фонтана – 183,4 кв. </w:t>
            </w:r>
          </w:p>
          <w:p w:rsidR="00642FD1" w:rsidRPr="00D27293" w:rsidRDefault="00642FD1" w:rsidP="00F840E2">
            <w:pPr>
              <w:spacing w:after="0"/>
              <w:rPr>
                <w:color w:val="FF0000"/>
              </w:rPr>
            </w:pPr>
          </w:p>
          <w:p w:rsidR="00642FD1" w:rsidRPr="00D27293" w:rsidRDefault="00642FD1" w:rsidP="00F840E2">
            <w:pPr>
              <w:spacing w:after="0"/>
              <w:rPr>
                <w:b/>
                <w:i/>
              </w:rPr>
            </w:pPr>
            <w:r w:rsidRPr="00D27293">
              <w:rPr>
                <w:b/>
                <w:i/>
              </w:rPr>
              <w:t>Инженерное обеспечение:</w:t>
            </w:r>
          </w:p>
          <w:p w:rsidR="00642FD1" w:rsidRPr="00D27293" w:rsidRDefault="00642FD1" w:rsidP="00642FD1">
            <w:pPr>
              <w:numPr>
                <w:ilvl w:val="0"/>
                <w:numId w:val="3"/>
              </w:numPr>
              <w:spacing w:after="0"/>
            </w:pPr>
            <w:r w:rsidRPr="00D27293">
              <w:t>Насосная станция  (ВНС 281) – год постройки 1956;  общая площадь  6 кв.м.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>Подземная часть: фундамент  бетонный; стены кирпичные (оштукатуренные); перекрытие железобетонные плиты; пол бетонная стяжка; проем (вход) металлический люк.</w:t>
            </w:r>
          </w:p>
          <w:p w:rsidR="00642FD1" w:rsidRPr="00D27293" w:rsidRDefault="00642FD1" w:rsidP="00642FD1">
            <w:pPr>
              <w:numPr>
                <w:ilvl w:val="0"/>
                <w:numId w:val="3"/>
              </w:numPr>
              <w:spacing w:after="0"/>
            </w:pPr>
            <w:r w:rsidRPr="00D27293">
              <w:t>Водопроводные сети: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 xml:space="preserve">        Водопровод до насосной станции от пожарного гидранта:  диаметр 50 мм (сталь), год постройки 1992, протяженность 96 п.м.</w:t>
            </w:r>
          </w:p>
          <w:p w:rsidR="00642FD1" w:rsidRPr="00D27293" w:rsidRDefault="00642FD1" w:rsidP="00642FD1">
            <w:pPr>
              <w:numPr>
                <w:ilvl w:val="0"/>
                <w:numId w:val="3"/>
              </w:numPr>
              <w:spacing w:after="0"/>
            </w:pPr>
            <w:r w:rsidRPr="00D27293">
              <w:t>Электрические сети: протяженностью 150 п.м.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>Фонтан расположен в сквере обеспеченном комплексным освещением.</w:t>
            </w:r>
          </w:p>
          <w:p w:rsidR="00642FD1" w:rsidRPr="00D27293" w:rsidRDefault="00642FD1" w:rsidP="00F840E2">
            <w:pPr>
              <w:spacing w:after="0"/>
              <w:ind w:left="777" w:hanging="425"/>
            </w:pPr>
          </w:p>
          <w:p w:rsidR="00642FD1" w:rsidRPr="00D27293" w:rsidRDefault="00642FD1" w:rsidP="00F840E2">
            <w:pPr>
              <w:spacing w:after="0"/>
              <w:rPr>
                <w:b/>
                <w:i/>
              </w:rPr>
            </w:pPr>
            <w:r w:rsidRPr="00D27293">
              <w:rPr>
                <w:b/>
                <w:i/>
              </w:rPr>
              <w:t>Общие сведения: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>Техническое состояние фонтана оценивается как ограниченно работоспособное.</w:t>
            </w:r>
          </w:p>
          <w:p w:rsidR="00642FD1" w:rsidRPr="00D27293" w:rsidRDefault="00642FD1" w:rsidP="00F840E2">
            <w:pPr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Режим работы фонтана – сезонный.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>Благоустройство прилегающей территории – мощение плиткой.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 xml:space="preserve">Фонтан относится к </w:t>
            </w:r>
            <w:r w:rsidRPr="00D27293">
              <w:rPr>
                <w:lang w:val="en-US"/>
              </w:rPr>
              <w:t>III</w:t>
            </w:r>
            <w:r w:rsidRPr="00D27293">
              <w:t xml:space="preserve"> категории произведений монументально-декоративного искусства.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2FD1" w:rsidRPr="00D27293" w:rsidTr="00642FD1">
        <w:trPr>
          <w:trHeight w:val="1439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  <w:rPr>
                <w:color w:val="000000"/>
              </w:rPr>
            </w:pPr>
            <w:r w:rsidRPr="00D27293">
              <w:rPr>
                <w:color w:val="000000"/>
              </w:rPr>
              <w:lastRenderedPageBreak/>
              <w:t>6.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  <w:rPr>
                <w:color w:val="000000"/>
              </w:rPr>
            </w:pPr>
            <w:r w:rsidRPr="00D27293">
              <w:rPr>
                <w:color w:val="000000"/>
              </w:rPr>
              <w:t>Объем выполняемых работ</w:t>
            </w:r>
          </w:p>
          <w:p w:rsidR="00642FD1" w:rsidRPr="00D27293" w:rsidRDefault="00642FD1" w:rsidP="00F840E2">
            <w:pPr>
              <w:spacing w:after="0"/>
            </w:pPr>
          </w:p>
        </w:tc>
        <w:tc>
          <w:tcPr>
            <w:tcW w:w="6725" w:type="dxa"/>
          </w:tcPr>
          <w:p w:rsidR="00642FD1" w:rsidRPr="00D27293" w:rsidRDefault="00642FD1" w:rsidP="00642FD1">
            <w:pPr>
              <w:numPr>
                <w:ilvl w:val="0"/>
                <w:numId w:val="5"/>
              </w:numPr>
              <w:spacing w:after="0"/>
              <w:ind w:left="352" w:hanging="284"/>
            </w:pPr>
            <w:r w:rsidRPr="00D27293">
              <w:t xml:space="preserve">Выполнить обследование фонтана на предмет соответствия ранее построенного объекта текущим нормам РФ и Омской области. </w:t>
            </w:r>
          </w:p>
          <w:p w:rsidR="00642FD1" w:rsidRPr="00D27293" w:rsidRDefault="00642FD1" w:rsidP="00642FD1">
            <w:pPr>
              <w:numPr>
                <w:ilvl w:val="0"/>
                <w:numId w:val="5"/>
              </w:numPr>
              <w:spacing w:after="0"/>
              <w:ind w:left="352" w:hanging="284"/>
            </w:pPr>
            <w:r w:rsidRPr="00D27293">
              <w:t>Провести архитектурные обмеры и составить картограммы дефектов.</w:t>
            </w:r>
          </w:p>
          <w:p w:rsidR="00642FD1" w:rsidRPr="00D27293" w:rsidRDefault="00642FD1" w:rsidP="00642FD1">
            <w:pPr>
              <w:numPr>
                <w:ilvl w:val="0"/>
                <w:numId w:val="5"/>
              </w:numPr>
              <w:spacing w:after="0"/>
              <w:ind w:left="352" w:hanging="352"/>
              <w:rPr>
                <w:color w:val="000000"/>
              </w:rPr>
            </w:pPr>
            <w:r w:rsidRPr="00D27293">
              <w:t>До начала работ провести фото фиксацию (количество фотографий 14 шт. 9х12 см), составить дефектные ведомости, акты технического состояния и утрат первоначального облика.</w:t>
            </w:r>
          </w:p>
          <w:p w:rsidR="00642FD1" w:rsidRPr="00D27293" w:rsidRDefault="00642FD1" w:rsidP="00642FD1">
            <w:pPr>
              <w:numPr>
                <w:ilvl w:val="0"/>
                <w:numId w:val="5"/>
              </w:numPr>
              <w:spacing w:after="0"/>
              <w:ind w:left="352" w:hanging="352"/>
              <w:rPr>
                <w:color w:val="000000"/>
              </w:rPr>
            </w:pPr>
            <w:r w:rsidRPr="00D27293">
              <w:t>По результатам составить акт технического состояния.</w:t>
            </w:r>
          </w:p>
          <w:p w:rsidR="00642FD1" w:rsidRPr="00D27293" w:rsidRDefault="00642FD1" w:rsidP="00642FD1">
            <w:pPr>
              <w:numPr>
                <w:ilvl w:val="0"/>
                <w:numId w:val="5"/>
              </w:numPr>
              <w:spacing w:after="0"/>
              <w:ind w:left="352" w:hanging="352"/>
              <w:rPr>
                <w:color w:val="000000"/>
              </w:rPr>
            </w:pPr>
            <w:r w:rsidRPr="00D27293">
              <w:t xml:space="preserve">Составить информационно-учетную карточку и паспорт объекта. </w:t>
            </w:r>
          </w:p>
          <w:p w:rsidR="00642FD1" w:rsidRPr="00D27293" w:rsidRDefault="00642FD1" w:rsidP="00F840E2">
            <w:pPr>
              <w:spacing w:after="0"/>
              <w:ind w:left="352" w:hanging="352"/>
            </w:pPr>
            <w:r w:rsidRPr="00D27293">
              <w:t>6. Провести  инженерное обследование технического состояния фонтана и существующих технологических и подводящих инженерных сетей водоснабжения, канализации и электроснабжения.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>7.  Провести натурные исследования:</w:t>
            </w:r>
          </w:p>
          <w:p w:rsidR="00642FD1" w:rsidRPr="00D27293" w:rsidRDefault="00642FD1" w:rsidP="00F840E2">
            <w:pPr>
              <w:spacing w:after="0"/>
              <w:ind w:firstLine="210"/>
            </w:pPr>
            <w:r w:rsidRPr="00D27293">
              <w:t xml:space="preserve">  -   материала чаши фонтана, состояния гидроизоляции, технического состояния и размеров фундамента;</w:t>
            </w:r>
          </w:p>
          <w:p w:rsidR="00642FD1" w:rsidRPr="00D27293" w:rsidRDefault="00642FD1" w:rsidP="00F840E2">
            <w:pPr>
              <w:spacing w:after="0"/>
              <w:ind w:firstLine="210"/>
            </w:pPr>
            <w:r w:rsidRPr="00D27293">
              <w:t xml:space="preserve"> -    определить возможности использования фундаментной части чаши фонтана при  проведении работ по капитальному ремонту.</w:t>
            </w:r>
          </w:p>
          <w:p w:rsidR="00642FD1" w:rsidRPr="00D27293" w:rsidRDefault="00642FD1" w:rsidP="00F840E2">
            <w:pPr>
              <w:spacing w:after="0"/>
              <w:ind w:firstLine="210"/>
            </w:pPr>
            <w:r w:rsidRPr="00D27293">
              <w:t xml:space="preserve">  -  определить состояние подводящих сетей водоснабжения, канализации и электроснабжения.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/>
              <w:jc w:val="both"/>
            </w:pPr>
            <w:r w:rsidRPr="00D27293">
              <w:t xml:space="preserve">8. Разработать и согласовать с Заказчиком концепцию капитального ремонта фонтана до начала дальнейшего проектирования. 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/>
              <w:jc w:val="both"/>
            </w:pPr>
            <w:r w:rsidRPr="00D27293">
              <w:t>9. Предусмотреть демонтажные работы.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/>
              <w:jc w:val="both"/>
            </w:pPr>
            <w:r w:rsidRPr="00D27293">
              <w:t>10. Выполнить проектирование фонтана и насосной станции: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/>
              <w:jc w:val="both"/>
            </w:pPr>
            <w:r w:rsidRPr="00D27293">
              <w:t xml:space="preserve">- разработать </w:t>
            </w:r>
            <w:hyperlink r:id="rId5" w:tooltip="Генеральные планы" w:history="1">
              <w:r w:rsidRPr="00D27293">
                <w:t>генеральный план</w:t>
              </w:r>
            </w:hyperlink>
            <w:r w:rsidRPr="00D27293">
              <w:t>;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/>
              <w:jc w:val="both"/>
            </w:pPr>
            <w:r w:rsidRPr="00D27293">
              <w:t>- разработать архитектурные решения;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/>
              <w:jc w:val="both"/>
            </w:pPr>
            <w:r w:rsidRPr="00D27293">
              <w:t>- разработать конструктивные решения.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 w:firstLine="292"/>
              <w:jc w:val="both"/>
            </w:pP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D27293">
              <w:t>Выполнить следующие разделы проекта: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D27293">
              <w:t>1.  Архитектурно-строительная часть.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D27293">
              <w:t xml:space="preserve">2.  </w:t>
            </w:r>
            <w:r w:rsidRPr="00A9258B">
              <w:t>Технология оборотного водоснабжения фонтана.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D27293">
              <w:t xml:space="preserve">3.  Внутренние сети электроснабжения, включая видеонаблюдение. Автоматизация комплексная. 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D27293">
              <w:t>4. Внутренние сети водоснабжения, водоотведения.</w:t>
            </w:r>
          </w:p>
          <w:p w:rsidR="00642FD1" w:rsidRPr="00D27293" w:rsidRDefault="00642FD1" w:rsidP="00F840E2">
            <w:pPr>
              <w:suppressAutoHyphens/>
              <w:spacing w:after="0"/>
              <w:ind w:firstLine="284"/>
            </w:pPr>
          </w:p>
          <w:p w:rsidR="00642FD1" w:rsidRPr="00D27293" w:rsidRDefault="00642FD1" w:rsidP="00F840E2">
            <w:pPr>
              <w:tabs>
                <w:tab w:val="left" w:pos="470"/>
              </w:tabs>
              <w:suppressAutoHyphens/>
              <w:spacing w:after="0"/>
              <w:rPr>
                <w:b/>
                <w:lang w:eastAsia="ar-SA"/>
              </w:rPr>
            </w:pPr>
            <w:r w:rsidRPr="00D27293">
              <w:rPr>
                <w:lang w:eastAsia="ar-SA"/>
              </w:rPr>
              <w:t xml:space="preserve">                                </w:t>
            </w:r>
            <w:r w:rsidRPr="00D27293">
              <w:rPr>
                <w:b/>
                <w:i/>
                <w:lang w:eastAsia="ar-SA"/>
              </w:rPr>
              <w:t>Технология оборотного водоснабжения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110"/>
              <w:rPr>
                <w:b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Гидравлическая часть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материал трубопроводов, соединяющих насосы и распределительные 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  <w:rPr>
                <w:lang w:eastAsia="ar-SA"/>
              </w:rPr>
            </w:pPr>
            <w:r w:rsidRPr="00D27293">
              <w:rPr>
                <w:lang w:eastAsia="ar-SA"/>
              </w:rPr>
              <w:t>коллекторы, системы фильтрации – нержавеющая сталь, ПВХ;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предусмотреть разбрызгиватели (насадки) из нержавеющей стали, 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бронзы и латуни. </w:t>
            </w:r>
            <w:r w:rsidRPr="00D27293">
              <w:t>Не применять разбрызгиватели (насадки) с наличием пластиковых элементов корпуса;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tabs>
                <w:tab w:val="clear" w:pos="720"/>
                <w:tab w:val="left" w:pos="68"/>
                <w:tab w:val="num" w:pos="352"/>
              </w:tabs>
              <w:suppressAutoHyphens/>
              <w:spacing w:after="0"/>
              <w:ind w:left="68" w:firstLine="4"/>
            </w:pPr>
            <w:r w:rsidRPr="00D27293">
              <w:t xml:space="preserve">в </w:t>
            </w:r>
            <w:r w:rsidRPr="00D27293">
              <w:rPr>
                <w:lang w:eastAsia="ar-SA"/>
              </w:rPr>
              <w:t>технологическом</w:t>
            </w:r>
            <w:r w:rsidRPr="00D27293">
              <w:t xml:space="preserve"> помещении в нижних точках трубопроводов предусмотреть краны для слива воды при консервации на зимний период;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lastRenderedPageBreak/>
              <w:t xml:space="preserve">в чаше фонтана предусмотреть возможность герметизации скиммеров и 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</w:pPr>
            <w:r w:rsidRPr="00D27293">
              <w:t>возвратных форсунок при консервации на зимний период для предотвращения попадания дождевых и талых вод в трубопроводы скиммеров и возвратных форсунок.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</w:pP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b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Насосное оборудование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  <w:rPr>
                <w:lang w:eastAsia="ar-SA"/>
              </w:rPr>
            </w:pPr>
            <w:r w:rsidRPr="00D27293">
              <w:rPr>
                <w:lang w:eastAsia="ar-SA"/>
              </w:rPr>
              <w:t>- насосы должны быть консольного типа  с клапанами  противосухого пуска укомплектованы дополнительными индивидуальными фильтрами из нержавеющей стали;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72" w:firstLine="0"/>
              <w:rPr>
                <w:lang w:eastAsia="ar-SA"/>
              </w:rPr>
            </w:pPr>
            <w:r w:rsidRPr="00D27293">
              <w:rPr>
                <w:lang w:eastAsia="ar-SA"/>
              </w:rPr>
              <w:t>для аварийного дренажа воды в технологическом помещении предусмотреть дренажный насос;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tabs>
                <w:tab w:val="left" w:pos="352"/>
              </w:tabs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количество насосов рабочих и резервных: не менее 3 шт.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  <w:rPr>
                <w:lang w:eastAsia="ar-SA"/>
              </w:rPr>
            </w:pP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b/>
                <w:i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Система очистки воды: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предусмотреть фильтровальную установку, использующую в качестве фильтрующего элемента кварцевый песок;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предусмотреть промывку трубопроводов с подключением пожарных рукавов на участках подключения к сетям коллекторов;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на напорные и всасывающие трубопроводы системы фильтрации предусмотреть отсечную трубопроводную арматуру (затворы, задвижки, краны);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предусмотреть оборудование для дезинфекции фонтанов с дозатором хлора для дезинфекции воды, с применением медленного стабилизированного хлора в таблетках, хранящегося в герметичных емкостях или предусмотреть иной вариант оборудования для дезинфекции фонтана.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  <w:rPr>
                <w:lang w:eastAsia="ar-SA"/>
              </w:rPr>
            </w:pP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b/>
              </w:rPr>
            </w:pPr>
            <w:r w:rsidRPr="00D27293">
              <w:rPr>
                <w:b/>
                <w:i/>
              </w:rPr>
              <w:t>Система автоматического поддержания уровня воды</w:t>
            </w:r>
            <w:r w:rsidRPr="00D27293">
              <w:rPr>
                <w:b/>
              </w:rPr>
              <w:t>: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72"/>
            </w:pPr>
            <w:r w:rsidRPr="00D27293">
              <w:t>- предусмотреть электронную систему автоматического поддержания уровня воды;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lang w:eastAsia="ar-SA"/>
              </w:rPr>
            </w:pPr>
            <w:r w:rsidRPr="00D27293">
              <w:t xml:space="preserve">-  предусмотреть электромагнитный клапан долива воды; 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-  в чаше фонтана предусмотреть датчик уровня воды и датчик сухого хода.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lang w:eastAsia="ar-SA"/>
              </w:rPr>
            </w:pP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110"/>
              <w:rPr>
                <w:b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Водоснабжение и канализация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принцип использования воды в фонтане – по замкнутому циклу;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баланс водопотребления рассчитывается на стадии проектирования;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баланс водоотведения рассчитывается на стадии проектирования;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355" w:hanging="283"/>
            </w:pPr>
            <w:r w:rsidRPr="00D27293">
              <w:rPr>
                <w:lang w:eastAsia="ar-SA"/>
              </w:rPr>
              <w:t>предусмотреть отвод канализационных стоков из чаши фонтана и</w:t>
            </w:r>
          </w:p>
          <w:p w:rsidR="00642FD1" w:rsidRPr="00D27293" w:rsidRDefault="00642FD1" w:rsidP="00F840E2">
            <w:pPr>
              <w:suppressAutoHyphens/>
              <w:spacing w:after="0"/>
              <w:ind w:left="72"/>
            </w:pPr>
            <w:r w:rsidRPr="00D27293">
              <w:rPr>
                <w:lang w:eastAsia="ar-SA"/>
              </w:rPr>
              <w:t xml:space="preserve">технологического помещения; </w:t>
            </w:r>
          </w:p>
          <w:p w:rsidR="00642FD1" w:rsidRPr="00D27293" w:rsidRDefault="00642FD1" w:rsidP="00F840E2">
            <w:pPr>
              <w:suppressAutoHyphens/>
              <w:spacing w:after="0"/>
              <w:ind w:left="110"/>
              <w:rPr>
                <w:lang w:eastAsia="ar-SA"/>
              </w:rPr>
            </w:pPr>
            <w:r w:rsidRPr="00D27293">
              <w:rPr>
                <w:lang w:eastAsia="ar-SA"/>
              </w:rPr>
              <w:t>-   предусмотреть узел учета расхода воды в технологическом помещении;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D27293">
              <w:t>-  для аварийного дренажа воды в технологическом помещении предусмотреть два погружных дренажных насоса с обратными клапанами для загрязненных жидкостей;</w:t>
            </w:r>
          </w:p>
          <w:p w:rsidR="00642FD1" w:rsidRPr="00D27293" w:rsidRDefault="00642FD1" w:rsidP="00F840E2">
            <w:pPr>
              <w:suppressAutoHyphens/>
              <w:spacing w:after="0"/>
              <w:ind w:left="110"/>
              <w:rPr>
                <w:lang w:eastAsia="ar-SA"/>
              </w:rPr>
            </w:pPr>
            <w:r w:rsidRPr="00D27293">
              <w:rPr>
                <w:lang w:eastAsia="ar-SA"/>
              </w:rPr>
              <w:lastRenderedPageBreak/>
              <w:t>- предусмотреть замену – 96 форсунок (при необходимости увеличить численность), высота струи – 3 метра (возможен террасный уровень выплескивания).</w:t>
            </w:r>
          </w:p>
          <w:p w:rsidR="00642FD1" w:rsidRPr="00D27293" w:rsidRDefault="00642FD1" w:rsidP="00F840E2">
            <w:pPr>
              <w:suppressAutoHyphens/>
              <w:spacing w:after="0"/>
              <w:ind w:left="68" w:hanging="241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     Водный эффект, создаваемый разбрызгивателями, согласовать с   Заказчиком.  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ind w:left="-173"/>
              <w:rPr>
                <w:lang w:eastAsia="ar-SA"/>
              </w:rPr>
            </w:pP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b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Внутренние сети электроснабжения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72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максимальная рабочая мощность рассчитывается на стадии проектирования;</w:t>
            </w:r>
          </w:p>
          <w:p w:rsidR="00642FD1" w:rsidRPr="00D27293" w:rsidRDefault="00642FD1" w:rsidP="00F840E2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D27293">
              <w:t>-  предусмотреть кирпичную перегородку с дверью, для отделения щитового помещения.</w:t>
            </w: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b/>
                <w:i/>
                <w:lang w:eastAsia="ar-SA"/>
              </w:rPr>
            </w:pPr>
          </w:p>
          <w:p w:rsidR="00642FD1" w:rsidRPr="00D27293" w:rsidRDefault="00642FD1" w:rsidP="00F840E2">
            <w:pPr>
              <w:tabs>
                <w:tab w:val="left" w:pos="352"/>
              </w:tabs>
              <w:suppressAutoHyphens/>
              <w:spacing w:after="0"/>
              <w:rPr>
                <w:b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Создание динамических водных струй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F840E2">
            <w:pPr>
              <w:suppressAutoHyphens/>
              <w:spacing w:after="0"/>
              <w:ind w:left="72"/>
            </w:pPr>
            <w:r w:rsidRPr="00D27293">
              <w:t xml:space="preserve">-   предусмотреть автоматическую регулировку напора </w:t>
            </w:r>
            <w:r w:rsidRPr="00D27293">
              <w:rPr>
                <w:lang w:eastAsia="ar-SA"/>
              </w:rPr>
              <w:t>96</w:t>
            </w:r>
            <w:r w:rsidRPr="00D27293">
              <w:t xml:space="preserve"> струй.</w:t>
            </w:r>
          </w:p>
          <w:p w:rsidR="00642FD1" w:rsidRPr="00D27293" w:rsidRDefault="00642FD1" w:rsidP="00F840E2">
            <w:pPr>
              <w:suppressAutoHyphens/>
              <w:spacing w:after="0"/>
              <w:ind w:left="72"/>
            </w:pPr>
          </w:p>
          <w:p w:rsidR="00642FD1" w:rsidRPr="00D27293" w:rsidRDefault="00642FD1" w:rsidP="00F840E2">
            <w:pPr>
              <w:suppressAutoHyphens/>
              <w:spacing w:after="0"/>
              <w:rPr>
                <w:b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Управление по силе ветра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F840E2">
            <w:pPr>
              <w:suppressAutoHyphens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- предусмотреть</w:t>
            </w:r>
            <w:r w:rsidRPr="00D27293">
              <w:t xml:space="preserve"> </w:t>
            </w:r>
            <w:r w:rsidRPr="00D27293">
              <w:rPr>
                <w:lang w:eastAsia="ar-SA"/>
              </w:rPr>
              <w:t xml:space="preserve"> датчик уровня дождя; </w:t>
            </w:r>
          </w:p>
          <w:p w:rsidR="00642FD1" w:rsidRPr="00D27293" w:rsidRDefault="00642FD1" w:rsidP="00F840E2">
            <w:pPr>
              <w:suppressAutoHyphens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- применить систему управления высотами струй в зависимости от скорости ветра;</w:t>
            </w:r>
          </w:p>
          <w:p w:rsidR="00642FD1" w:rsidRPr="00D27293" w:rsidRDefault="00642FD1" w:rsidP="00F840E2">
            <w:pPr>
              <w:suppressAutoHyphens/>
              <w:spacing w:after="0"/>
              <w:rPr>
                <w:b/>
                <w:lang w:eastAsia="ar-SA"/>
              </w:rPr>
            </w:pPr>
            <w:r w:rsidRPr="00D27293">
              <w:rPr>
                <w:lang w:eastAsia="ar-SA"/>
              </w:rPr>
              <w:t>- регулировку напора форсунок предусмотреть насосом, управляемым частотным преобразователем.</w:t>
            </w:r>
          </w:p>
          <w:p w:rsidR="00642FD1" w:rsidRPr="00D27293" w:rsidRDefault="00642FD1" w:rsidP="00F840E2">
            <w:pPr>
              <w:suppressAutoHyphens/>
              <w:spacing w:after="0"/>
              <w:rPr>
                <w:lang w:eastAsia="ar-SA"/>
              </w:rPr>
            </w:pPr>
          </w:p>
          <w:p w:rsidR="00642FD1" w:rsidRPr="00D27293" w:rsidRDefault="00642FD1" w:rsidP="00F840E2">
            <w:pPr>
              <w:suppressAutoHyphens/>
              <w:spacing w:after="0"/>
              <w:rPr>
                <w:b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Система видеонаблюдения фонтана</w:t>
            </w:r>
            <w:r w:rsidRPr="00D27293">
              <w:rPr>
                <w:b/>
                <w:lang w:eastAsia="ar-SA"/>
              </w:rPr>
              <w:t>:</w:t>
            </w:r>
          </w:p>
          <w:p w:rsidR="00642FD1" w:rsidRPr="00D27293" w:rsidRDefault="00642FD1" w:rsidP="00642FD1">
            <w:pPr>
              <w:numPr>
                <w:ilvl w:val="0"/>
                <w:numId w:val="4"/>
              </w:numPr>
              <w:suppressAutoHyphens/>
              <w:spacing w:after="0"/>
              <w:ind w:left="72" w:hanging="283"/>
              <w:rPr>
                <w:lang w:eastAsia="ar-SA"/>
              </w:rPr>
            </w:pPr>
            <w:r w:rsidRPr="00D27293">
              <w:rPr>
                <w:lang w:eastAsia="ar-SA"/>
              </w:rPr>
              <w:t>предусмотреть установку наружных цветных видеокамер, с выводом сигнала на цифровой регистратор в технологическом помещении для контроля работы фонтана;</w:t>
            </w:r>
          </w:p>
          <w:p w:rsidR="00642FD1" w:rsidRPr="00D27293" w:rsidRDefault="00642FD1" w:rsidP="00F840E2">
            <w:pPr>
              <w:suppressAutoHyphens/>
              <w:spacing w:after="0"/>
              <w:ind w:left="72"/>
              <w:rPr>
                <w:lang w:eastAsia="ar-SA"/>
              </w:rPr>
            </w:pPr>
            <w:r w:rsidRPr="00D27293">
              <w:rPr>
                <w:lang w:eastAsia="ar-SA"/>
              </w:rPr>
              <w:t>-  количество видеокамер предусмотреть – не менее 2-х.</w:t>
            </w:r>
          </w:p>
          <w:p w:rsidR="00642FD1" w:rsidRPr="00D27293" w:rsidRDefault="00642FD1" w:rsidP="00F840E2">
            <w:pPr>
              <w:suppressAutoHyphens/>
              <w:spacing w:after="0"/>
              <w:ind w:left="72"/>
              <w:rPr>
                <w:lang w:eastAsia="ar-SA"/>
              </w:rPr>
            </w:pPr>
          </w:p>
          <w:p w:rsidR="00642FD1" w:rsidRPr="00D27293" w:rsidRDefault="00642FD1" w:rsidP="00F840E2">
            <w:pPr>
              <w:suppressAutoHyphens/>
              <w:autoSpaceDE w:val="0"/>
              <w:spacing w:after="0"/>
              <w:rPr>
                <w:b/>
                <w:i/>
                <w:lang w:eastAsia="ar-SA"/>
              </w:rPr>
            </w:pPr>
            <w:r w:rsidRPr="00D27293">
              <w:rPr>
                <w:b/>
                <w:i/>
                <w:lang w:eastAsia="ar-SA"/>
              </w:rPr>
              <w:t>Отопление и вентиляция:</w:t>
            </w:r>
          </w:p>
          <w:p w:rsidR="00642FD1" w:rsidRPr="00D27293" w:rsidRDefault="00642FD1" w:rsidP="00F840E2">
            <w:pPr>
              <w:suppressAutoHyphens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- предусмотреть систему поддержания положительной температуры воздуха в технологическом помещении в зимний период, в качестве отопительных приборов использовать инфракрасные обогреватели.</w:t>
            </w:r>
          </w:p>
          <w:p w:rsidR="00642FD1" w:rsidRPr="00D27293" w:rsidRDefault="00642FD1" w:rsidP="00F840E2">
            <w:pPr>
              <w:suppressAutoHyphens/>
              <w:spacing w:after="0"/>
              <w:rPr>
                <w:lang w:eastAsia="ar-SA"/>
              </w:rPr>
            </w:pPr>
          </w:p>
          <w:p w:rsidR="00642FD1" w:rsidRPr="00D27293" w:rsidRDefault="00642FD1" w:rsidP="00F840E2">
            <w:pPr>
              <w:suppressAutoHyphens/>
              <w:spacing w:after="0"/>
              <w:rPr>
                <w:lang w:eastAsia="ar-SA"/>
              </w:rPr>
            </w:pPr>
            <w:r w:rsidRPr="00D27293">
              <w:t>Предусмотреть при дальнейшей эксплуатации фонтана проведение окраски объекта 1 раз в год водостойкой и морозостойкой  краской.</w:t>
            </w:r>
          </w:p>
          <w:p w:rsidR="00642FD1" w:rsidRPr="00D27293" w:rsidRDefault="00642FD1" w:rsidP="00F840E2">
            <w:pPr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Предусмотреть антивандальные способы защиты фонтана, необходимые при его эксплуатации.</w:t>
            </w:r>
          </w:p>
          <w:p w:rsidR="00642FD1" w:rsidRPr="00D27293" w:rsidRDefault="00642FD1" w:rsidP="00F840E2">
            <w:pPr>
              <w:spacing w:after="0"/>
              <w:rPr>
                <w:b/>
                <w:u w:val="single"/>
              </w:rPr>
            </w:pPr>
            <w:r w:rsidRPr="00D27293">
              <w:t>Технические решения согласовать  с Заказчиком.</w:t>
            </w:r>
          </w:p>
        </w:tc>
      </w:tr>
      <w:tr w:rsidR="00642FD1" w:rsidRPr="00D27293" w:rsidTr="00642FD1">
        <w:trPr>
          <w:trHeight w:val="557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  <w:rPr>
                <w:color w:val="000000"/>
              </w:rPr>
            </w:pPr>
            <w:r w:rsidRPr="00D27293">
              <w:rPr>
                <w:color w:val="000000"/>
              </w:rPr>
              <w:lastRenderedPageBreak/>
              <w:t>7.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rPr>
                <w:lang w:eastAsia="ar-SA"/>
              </w:rPr>
              <w:t>Требования к составу документации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uppressAutoHyphens/>
              <w:spacing w:after="0"/>
            </w:pPr>
            <w:r w:rsidRPr="00D27293">
              <w:t xml:space="preserve">Разделы </w:t>
            </w:r>
            <w:r w:rsidRPr="00A9258B">
              <w:t xml:space="preserve">проектной </w:t>
            </w:r>
            <w:r w:rsidRPr="00D27293">
              <w:t>документации по составу должны соответствовать требованиям:</w:t>
            </w:r>
          </w:p>
          <w:p w:rsidR="00642FD1" w:rsidRPr="00D27293" w:rsidRDefault="00642FD1" w:rsidP="00F840E2">
            <w:pPr>
              <w:suppressAutoHyphens/>
              <w:spacing w:after="0"/>
            </w:pPr>
            <w:r w:rsidRPr="00D27293">
              <w:t xml:space="preserve">- Постановление Правительства РФ от 16.02.2008 № 87 «О составе разделов проектной документации и требованиях к их содержанию»; </w:t>
            </w:r>
          </w:p>
          <w:p w:rsidR="00642FD1" w:rsidRPr="00D27293" w:rsidRDefault="00642FD1" w:rsidP="00F840E2">
            <w:pPr>
              <w:suppressAutoHyphens/>
              <w:spacing w:after="0"/>
            </w:pPr>
            <w:r w:rsidRPr="00D27293">
              <w:t xml:space="preserve">- ГОСТ Р 21.101-2020 «Система проектной документации для строительства. Основные требования к проектной и рабочей документации». </w:t>
            </w:r>
          </w:p>
          <w:p w:rsidR="00642FD1" w:rsidRPr="00D27293" w:rsidRDefault="00642FD1" w:rsidP="00F840E2">
            <w:pPr>
              <w:spacing w:after="0"/>
            </w:pPr>
            <w:r w:rsidRPr="00D27293">
              <w:t>Документация должна содержать: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Архитектурные обмеры.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tabs>
                <w:tab w:val="left" w:pos="3377"/>
              </w:tabs>
              <w:spacing w:after="0"/>
            </w:pPr>
            <w:r w:rsidRPr="00D27293">
              <w:lastRenderedPageBreak/>
              <w:t xml:space="preserve">Инженерное обследование с заключением и оценкой строительных конструкций, в том числе несущих конструкций и существующих инженерных сетей для дальнейшей эксплуатации сооружений и рекомендациями по капитальному ремонту сооружений,  инженерного оборудования и сетей. 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Пояснительная записка.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uppressAutoHyphens/>
              <w:spacing w:after="0"/>
            </w:pPr>
            <w:r w:rsidRPr="00D27293">
              <w:t>Схема планировочной организации земельного участка (с учетом восстановления нарушенного благоустройства).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Архитектурные решения.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Конструктивные  и объемно-пространственные решения.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Систему электроснабжения.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Систему водоснабжения.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pacing w:after="0"/>
            </w:pPr>
            <w:r w:rsidRPr="00D27293">
              <w:t>Систему водоотведения.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uppressAutoHyphens/>
              <w:spacing w:after="0"/>
            </w:pPr>
            <w:r w:rsidRPr="00D27293">
              <w:t>Проект и рабочий проект капитального ремонта сетей и сооружений инженерно-технического обеспечения фонтанов (при необходимости с заменой, согласно технических условий от соответствующих городских организаций и служб). Наружное электроосвещение  фонтанов (декоративная подсветка).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uppressAutoHyphens/>
              <w:spacing w:after="0"/>
              <w:rPr>
                <w:b/>
              </w:rPr>
            </w:pPr>
            <w:r w:rsidRPr="00D27293">
              <w:rPr>
                <w:color w:val="000000"/>
              </w:rPr>
              <w:t xml:space="preserve">Представить Заказчику расчёт мощностей для обеспечения эксплуатации строительной  площадки и </w:t>
            </w:r>
            <w:r w:rsidRPr="00D27293">
              <w:t>схемы движения дорожного транспорта и пешеходов (на период капитального ремонта объекта).</w:t>
            </w:r>
          </w:p>
          <w:p w:rsidR="00642FD1" w:rsidRPr="00D27293" w:rsidRDefault="00642FD1" w:rsidP="00642FD1">
            <w:pPr>
              <w:numPr>
                <w:ilvl w:val="0"/>
                <w:numId w:val="2"/>
              </w:numPr>
              <w:suppressAutoHyphens/>
              <w:spacing w:after="0"/>
              <w:rPr>
                <w:b/>
                <w:u w:val="single"/>
              </w:rPr>
            </w:pPr>
            <w:r w:rsidRPr="00D27293">
              <w:t xml:space="preserve">Сметная документация. </w:t>
            </w:r>
          </w:p>
          <w:p w:rsidR="00642FD1" w:rsidRPr="00A9258B" w:rsidRDefault="00642FD1" w:rsidP="00642FD1">
            <w:pPr>
              <w:pStyle w:val="a3"/>
              <w:numPr>
                <w:ilvl w:val="0"/>
                <w:numId w:val="2"/>
              </w:numPr>
              <w:spacing w:after="0"/>
            </w:pPr>
            <w:r w:rsidRPr="00A9258B">
              <w:t>Ведомость объемов строительно-монтажных работ.</w:t>
            </w:r>
          </w:p>
          <w:p w:rsidR="00642FD1" w:rsidRPr="00D27293" w:rsidRDefault="00642FD1" w:rsidP="00F840E2">
            <w:pPr>
              <w:suppressAutoHyphens/>
              <w:spacing w:after="0"/>
              <w:ind w:left="360"/>
              <w:rPr>
                <w:b/>
                <w:u w:val="single"/>
              </w:rPr>
            </w:pPr>
          </w:p>
          <w:p w:rsidR="00642FD1" w:rsidRPr="00D27293" w:rsidRDefault="00642FD1" w:rsidP="00F840E2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Категория  сложности  проекта фонтана – </w:t>
            </w:r>
            <w:r w:rsidRPr="00D27293">
              <w:rPr>
                <w:lang w:val="en-US" w:eastAsia="ar-SA"/>
              </w:rPr>
              <w:t>II</w:t>
            </w:r>
            <w:r w:rsidRPr="00D27293">
              <w:rPr>
                <w:lang w:eastAsia="ar-SA"/>
              </w:rPr>
              <w:t>.</w:t>
            </w:r>
          </w:p>
          <w:p w:rsidR="00642FD1" w:rsidRPr="00D27293" w:rsidRDefault="00642FD1" w:rsidP="00F840E2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</w:p>
          <w:p w:rsidR="00642FD1" w:rsidRDefault="00642FD1" w:rsidP="00F840E2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  <w:r w:rsidRPr="00935119">
              <w:rPr>
                <w:lang w:eastAsia="ar-SA"/>
              </w:rPr>
              <w:t>Состав рабочей документации должен соответствовать проектной документации.</w:t>
            </w:r>
          </w:p>
          <w:p w:rsidR="00642FD1" w:rsidRPr="00D27293" w:rsidRDefault="00642FD1" w:rsidP="00F840E2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</w:p>
          <w:p w:rsidR="00642FD1" w:rsidRPr="00D27293" w:rsidRDefault="00642FD1" w:rsidP="00F840E2">
            <w:pPr>
              <w:suppressAutoHyphens/>
              <w:spacing w:after="0"/>
              <w:rPr>
                <w:b/>
                <w:u w:val="single"/>
              </w:rPr>
            </w:pPr>
            <w:r w:rsidRPr="00886D09">
              <w:rPr>
                <w:lang w:eastAsia="ar-SA"/>
              </w:rPr>
              <w:t xml:space="preserve">Проектная документация (в том числе </w:t>
            </w:r>
            <w:r w:rsidRPr="00886D09">
              <w:t>сметная документация)</w:t>
            </w:r>
            <w:r w:rsidRPr="00886D0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и рабочая</w:t>
            </w:r>
            <w:r w:rsidRPr="00886D09">
              <w:rPr>
                <w:lang w:eastAsia="ar-SA"/>
              </w:rPr>
              <w:t xml:space="preserve"> документация</w:t>
            </w:r>
            <w:r>
              <w:rPr>
                <w:lang w:eastAsia="ar-SA"/>
              </w:rPr>
              <w:t xml:space="preserve"> </w:t>
            </w:r>
            <w:r w:rsidRPr="00886D09">
              <w:rPr>
                <w:lang w:eastAsia="ar-SA"/>
              </w:rPr>
              <w:t>не должн</w:t>
            </w:r>
            <w:r>
              <w:rPr>
                <w:lang w:eastAsia="ar-SA"/>
              </w:rPr>
              <w:t xml:space="preserve">ы </w:t>
            </w:r>
            <w:r w:rsidRPr="00886D09">
              <w:rPr>
                <w:lang w:eastAsia="ar-SA"/>
              </w:rPr>
              <w:t>содержать указани</w:t>
            </w:r>
            <w:r>
              <w:rPr>
                <w:lang w:eastAsia="ar-SA"/>
              </w:rPr>
              <w:t>я</w:t>
            </w:r>
            <w:r w:rsidRPr="00886D09">
              <w:rPr>
                <w:lang w:eastAsia="ar-SA"/>
              </w:rPr>
              <w:t xml:space="preserve">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 кроме случаев, предусмотренных федеральным законом Российской Федерации от 05.04.2013г. № 44-ФЗ «О контрактной системе в сфере закупок товаров, работ, услуг для обеспечения государственных и муниципальных нужд». При указании ссылок на товарные знаки они должны сопровождаться словами «или эквивалент» с обязательным указанием технических характеристик для определения параметров эквивалентности.</w:t>
            </w:r>
          </w:p>
        </w:tc>
      </w:tr>
      <w:tr w:rsidR="00642FD1" w:rsidRPr="00D27293" w:rsidTr="00642FD1">
        <w:trPr>
          <w:trHeight w:val="514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  <w:rPr>
                <w:color w:val="000000"/>
              </w:rPr>
            </w:pPr>
            <w:r w:rsidRPr="00D27293">
              <w:rPr>
                <w:color w:val="000000"/>
              </w:rPr>
              <w:lastRenderedPageBreak/>
              <w:t>8.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  <w:rPr>
                <w:lang w:eastAsia="ar-SA"/>
              </w:rPr>
            </w:pPr>
            <w:r w:rsidRPr="00D27293">
              <w:t>Требования к благоустройству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pacing w:after="0"/>
            </w:pPr>
            <w:r w:rsidRPr="00D27293">
              <w:rPr>
                <w:color w:val="000000"/>
                <w:lang w:eastAsia="en-US"/>
              </w:rPr>
              <w:t xml:space="preserve">Предусмотреть в рамках благоустройства возможность доступа маломобильных групп населения (раздел «Обеспечение доступности инвалидам»). Все принятые проектные решения </w:t>
            </w:r>
            <w:r w:rsidRPr="00D27293">
              <w:rPr>
                <w:color w:val="000000"/>
                <w:lang w:eastAsia="en-US"/>
              </w:rPr>
              <w:lastRenderedPageBreak/>
              <w:t>должны соответствовать действующим нормам и правилам Российской Федерации, в том числе «СП 59.13330.2020. Свод правил. Доступность зданий и сооружений для маломобильных групп населения. СНиП 35-01-2001».</w:t>
            </w:r>
            <w:r w:rsidRPr="00D27293">
              <w:t xml:space="preserve"> </w:t>
            </w:r>
          </w:p>
          <w:p w:rsidR="00642FD1" w:rsidRPr="00D27293" w:rsidRDefault="00642FD1" w:rsidP="00F840E2">
            <w:pPr>
              <w:spacing w:after="0"/>
              <w:rPr>
                <w:b/>
                <w:u w:val="single"/>
              </w:rPr>
            </w:pPr>
            <w:r w:rsidRPr="00D27293">
              <w:t xml:space="preserve">Предусмотреть восстановление нарушенного благоустройства территории с учетом перекладки инженерных сетей, согласовать с Заказчиком. </w:t>
            </w:r>
          </w:p>
        </w:tc>
      </w:tr>
      <w:tr w:rsidR="00642FD1" w:rsidRPr="00D27293" w:rsidTr="00642FD1">
        <w:trPr>
          <w:trHeight w:val="1439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  <w:rPr>
                <w:color w:val="000000"/>
              </w:rPr>
            </w:pPr>
            <w:bookmarkStart w:id="0" w:name="_GoBack"/>
            <w:r w:rsidRPr="00D27293">
              <w:rPr>
                <w:color w:val="000000"/>
              </w:rPr>
              <w:lastRenderedPageBreak/>
              <w:t>9.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rPr>
                <w:lang w:eastAsia="ar-SA"/>
              </w:rPr>
              <w:t>Требования к разработке сметной документации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При составлении сметной документации руководствоваться нижеизложенными требованиями:</w:t>
            </w:r>
          </w:p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1. Сметная документация должна представляться Заказчику в составе:</w:t>
            </w:r>
          </w:p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- сводного сметного расчета;</w:t>
            </w:r>
          </w:p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- объектного сметного расчета;</w:t>
            </w:r>
          </w:p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- локальных сметных расчетов (с приложением информации о текущей стоимости и таблицы – сопоставительного анализа).</w:t>
            </w:r>
          </w:p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2. Сметная документация должна быть составлена в двух уровнях цен и предоставлена Заказчику отдельными локальными сметами в действующей сметно-нормативной базе на момент выполнения проектных работ.</w:t>
            </w:r>
          </w:p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>3. Стоимость оборудования, материалов, изделий и конструкций, не включенных, либо не имеющих аналогов в сметных нормативах, определяется в текущем уровне цен на основании информации о текущей стоимости применяемого оборудования, материалов, изделий и конструкций, представленной Подрядчиком и согласованной  с Заказчиком.</w:t>
            </w:r>
            <w:r w:rsidRPr="00935119">
              <w:t xml:space="preserve"> </w:t>
            </w:r>
            <w:r w:rsidRPr="00D27293">
              <w:rPr>
                <w:lang w:eastAsia="ar-SA"/>
              </w:rPr>
              <w:t>При этом Подрядчик производит сопоставительный анализ стоимости каждой единицы товара в табличной форме путем вычисления среднеарифметической цены с указанием подтвержденной стоимости от производителя (поставщика) (информация не менее чем от 3-х производителей (поставщиков) с приложением в виде прайс-листов, коммерческих предложений и т.п.). В локальный сметный расчет включается среднеарифметическая стоимость согласно сопоставительному анализу.</w:t>
            </w:r>
          </w:p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4. Все прайс-листы должны быть пронумерованы, сшиты в отдельный том с указанием на каждом прайс-листе квартала и года состояния цены действительной на данный период времени. </w:t>
            </w:r>
          </w:p>
        </w:tc>
      </w:tr>
      <w:bookmarkEnd w:id="0"/>
      <w:tr w:rsidR="00642FD1" w:rsidRPr="00D27293" w:rsidTr="00642FD1">
        <w:trPr>
          <w:trHeight w:val="1646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  <w:rPr>
                <w:color w:val="000000"/>
              </w:rPr>
            </w:pPr>
            <w:r w:rsidRPr="00D27293">
              <w:rPr>
                <w:color w:val="000000"/>
              </w:rPr>
              <w:t>10.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t xml:space="preserve">Исходные данные для проектирования, предоставляемые Заказчиком 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pacing w:after="0"/>
            </w:pPr>
            <w:r w:rsidRPr="00D27293">
              <w:t>Исходные данные передаются в течение 5 рабочих дней с даты заключения контракта.</w:t>
            </w:r>
          </w:p>
          <w:p w:rsidR="00642FD1" w:rsidRPr="00935119" w:rsidRDefault="00642FD1" w:rsidP="00642FD1">
            <w:pPr>
              <w:numPr>
                <w:ilvl w:val="1"/>
                <w:numId w:val="1"/>
              </w:numPr>
              <w:tabs>
                <w:tab w:val="clear" w:pos="1692"/>
                <w:tab w:val="num" w:pos="210"/>
                <w:tab w:val="num" w:pos="2486"/>
              </w:tabs>
              <w:spacing w:after="0"/>
              <w:ind w:left="0" w:firstLine="0"/>
            </w:pPr>
            <w:r w:rsidRPr="00D27293">
              <w:t xml:space="preserve">Выписки из Единого государственного реестра прав на недвижимое имущество и сделок с ним, удостоверяющая </w:t>
            </w:r>
            <w:r w:rsidRPr="00935119">
              <w:t>проведенную государственную регистрацию права.</w:t>
            </w:r>
          </w:p>
          <w:p w:rsidR="00642FD1" w:rsidRPr="00935119" w:rsidRDefault="00642FD1" w:rsidP="00642FD1">
            <w:pPr>
              <w:numPr>
                <w:ilvl w:val="1"/>
                <w:numId w:val="1"/>
              </w:numPr>
              <w:tabs>
                <w:tab w:val="clear" w:pos="1692"/>
                <w:tab w:val="num" w:pos="210"/>
                <w:tab w:val="num" w:pos="2486"/>
              </w:tabs>
              <w:spacing w:after="0"/>
              <w:ind w:left="0" w:firstLine="0"/>
            </w:pPr>
            <w:r w:rsidRPr="00935119">
              <w:t>Градостроительный план земельного участка.</w:t>
            </w:r>
          </w:p>
          <w:p w:rsidR="00642FD1" w:rsidRPr="00935119" w:rsidRDefault="00642FD1" w:rsidP="00642FD1">
            <w:pPr>
              <w:numPr>
                <w:ilvl w:val="1"/>
                <w:numId w:val="1"/>
              </w:numPr>
              <w:tabs>
                <w:tab w:val="clear" w:pos="1692"/>
                <w:tab w:val="num" w:pos="210"/>
                <w:tab w:val="num" w:pos="2486"/>
              </w:tabs>
              <w:spacing w:after="0"/>
              <w:ind w:left="0" w:firstLine="0"/>
            </w:pPr>
            <w:r w:rsidRPr="00935119">
              <w:t>Технические условия подключения.</w:t>
            </w:r>
          </w:p>
          <w:p w:rsidR="00642FD1" w:rsidRPr="00D27293" w:rsidRDefault="00642FD1" w:rsidP="00642FD1">
            <w:pPr>
              <w:numPr>
                <w:ilvl w:val="1"/>
                <w:numId w:val="1"/>
              </w:numPr>
              <w:tabs>
                <w:tab w:val="clear" w:pos="1692"/>
                <w:tab w:val="num" w:pos="210"/>
                <w:tab w:val="num" w:pos="2486"/>
              </w:tabs>
              <w:spacing w:after="0"/>
              <w:ind w:left="0" w:firstLine="0"/>
            </w:pPr>
            <w:r w:rsidRPr="00D27293">
              <w:t>Технический паспорт фонтана, сооружения, сетей водоснабжения.</w:t>
            </w:r>
          </w:p>
          <w:p w:rsidR="00642FD1" w:rsidRPr="00D27293" w:rsidRDefault="00642FD1" w:rsidP="00F840E2">
            <w:pPr>
              <w:tabs>
                <w:tab w:val="num" w:pos="210"/>
              </w:tabs>
              <w:spacing w:after="0"/>
              <w:rPr>
                <w:b/>
                <w:highlight w:val="red"/>
                <w:u w:val="single"/>
              </w:rPr>
            </w:pPr>
            <w:r w:rsidRPr="00D27293">
              <w:rPr>
                <w:color w:val="000000"/>
              </w:rPr>
              <w:t>5.  Акты обследования недвижимости от августа 2020 года.</w:t>
            </w:r>
          </w:p>
        </w:tc>
      </w:tr>
      <w:tr w:rsidR="00642FD1" w:rsidRPr="00D27293" w:rsidTr="00642FD1">
        <w:trPr>
          <w:trHeight w:val="415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  <w:rPr>
                <w:color w:val="000000"/>
              </w:rPr>
            </w:pPr>
            <w:r w:rsidRPr="00D27293">
              <w:rPr>
                <w:color w:val="000000"/>
              </w:rPr>
              <w:t>11.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Прочие условия проектирования  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 Выбор типа оборудования и материалов осуществляется проектной организацией по согласованию с Заказчиком.</w:t>
            </w:r>
          </w:p>
          <w:p w:rsidR="00642FD1" w:rsidRPr="00D27293" w:rsidRDefault="00642FD1" w:rsidP="00F840E2">
            <w:pPr>
              <w:spacing w:after="0"/>
              <w:rPr>
                <w:lang w:eastAsia="ar-SA"/>
              </w:rPr>
            </w:pPr>
            <w:r w:rsidRPr="00D27293">
              <w:rPr>
                <w:lang w:eastAsia="ar-SA"/>
              </w:rPr>
              <w:t xml:space="preserve"> Границы проектирования: определяются при проектировании с учетом существующих коммуникаций. </w:t>
            </w:r>
          </w:p>
          <w:p w:rsidR="00642FD1" w:rsidRPr="00D27293" w:rsidRDefault="00642FD1" w:rsidP="00F840E2">
            <w:pPr>
              <w:spacing w:after="0"/>
            </w:pPr>
            <w:r w:rsidRPr="00935119">
              <w:lastRenderedPageBreak/>
              <w:t>Согласование проектной документации с ресурсоснабжающими организациями.</w:t>
            </w:r>
          </w:p>
        </w:tc>
      </w:tr>
      <w:tr w:rsidR="00642FD1" w:rsidRPr="00D27293" w:rsidTr="00642FD1">
        <w:trPr>
          <w:trHeight w:val="1439"/>
        </w:trPr>
        <w:tc>
          <w:tcPr>
            <w:tcW w:w="675" w:type="dxa"/>
          </w:tcPr>
          <w:p w:rsidR="00642FD1" w:rsidRPr="00D27293" w:rsidRDefault="00642FD1" w:rsidP="00F840E2">
            <w:pPr>
              <w:spacing w:after="0"/>
              <w:jc w:val="center"/>
              <w:rPr>
                <w:color w:val="000000"/>
              </w:rPr>
            </w:pPr>
            <w:r w:rsidRPr="00D27293">
              <w:rPr>
                <w:color w:val="000000"/>
              </w:rPr>
              <w:lastRenderedPageBreak/>
              <w:t>12.</w:t>
            </w:r>
          </w:p>
        </w:tc>
        <w:tc>
          <w:tcPr>
            <w:tcW w:w="2552" w:type="dxa"/>
          </w:tcPr>
          <w:p w:rsidR="00642FD1" w:rsidRPr="00D27293" w:rsidRDefault="00642FD1" w:rsidP="00F840E2">
            <w:pPr>
              <w:spacing w:after="0"/>
            </w:pPr>
            <w:r w:rsidRPr="00D27293">
              <w:rPr>
                <w:lang w:eastAsia="ar-SA"/>
              </w:rPr>
              <w:t>Количество экземпляров документации</w:t>
            </w:r>
          </w:p>
        </w:tc>
        <w:tc>
          <w:tcPr>
            <w:tcW w:w="6725" w:type="dxa"/>
          </w:tcPr>
          <w:p w:rsidR="00642FD1" w:rsidRPr="00D27293" w:rsidRDefault="00642FD1" w:rsidP="00F840E2">
            <w:pPr>
              <w:spacing w:after="0"/>
              <w:rPr>
                <w:b/>
                <w:u w:val="single"/>
              </w:rPr>
            </w:pPr>
            <w:r w:rsidRPr="00D27293">
              <w:t xml:space="preserve">Согласованная проектно-сметная документация передается Заказчику в 3-х экземплярах на бумажном носителе </w:t>
            </w:r>
            <w:r w:rsidRPr="00D27293">
              <w:rPr>
                <w:color w:val="000000"/>
              </w:rPr>
              <w:t xml:space="preserve">виде Альбома формата А-3 </w:t>
            </w:r>
            <w:r w:rsidRPr="00D27293">
              <w:t xml:space="preserve">и в электронном виде  в 2-х экземплярах на съемном носителе: один в формате </w:t>
            </w:r>
            <w:r w:rsidRPr="00D27293">
              <w:rPr>
                <w:lang w:val="en-US"/>
              </w:rPr>
              <w:t>PDF</w:t>
            </w:r>
            <w:r w:rsidRPr="00D27293">
              <w:t>, другой в формате, допускающем редактирование (</w:t>
            </w:r>
            <w:r w:rsidRPr="00D27293">
              <w:rPr>
                <w:lang w:val="en-US"/>
              </w:rPr>
              <w:t>Excel</w:t>
            </w:r>
            <w:r w:rsidRPr="00D27293">
              <w:t xml:space="preserve">, </w:t>
            </w:r>
            <w:r w:rsidRPr="00D27293">
              <w:rPr>
                <w:lang w:val="en-US"/>
              </w:rPr>
              <w:t>Word</w:t>
            </w:r>
            <w:r w:rsidRPr="00D27293">
              <w:t xml:space="preserve">, </w:t>
            </w:r>
            <w:r w:rsidRPr="00D27293">
              <w:rPr>
                <w:lang w:val="en-US"/>
              </w:rPr>
              <w:t>AutoCAD</w:t>
            </w:r>
            <w:r w:rsidRPr="00D27293">
              <w:t>), а также передаются оригиналы полученных согласований.</w:t>
            </w:r>
          </w:p>
        </w:tc>
      </w:tr>
    </w:tbl>
    <w:p w:rsidR="003B2F7A" w:rsidRDefault="003B2F7A"/>
    <w:sectPr w:rsidR="003B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27CE40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8955A1"/>
    <w:multiLevelType w:val="hybridMultilevel"/>
    <w:tmpl w:val="E414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EBA"/>
    <w:multiLevelType w:val="multilevel"/>
    <w:tmpl w:val="9D069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0B78D0"/>
    <w:multiLevelType w:val="hybridMultilevel"/>
    <w:tmpl w:val="A106D67C"/>
    <w:lvl w:ilvl="0" w:tplc="E94A5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0F0C10"/>
    <w:multiLevelType w:val="hybridMultilevel"/>
    <w:tmpl w:val="08FAD0DA"/>
    <w:lvl w:ilvl="0" w:tplc="E16A1B62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2" w:tplc="E16A1B62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1"/>
    <w:rsid w:val="003B2F7A"/>
    <w:rsid w:val="006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184A-DEE8-4D28-86ED-B13C61D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Bullet List,FooterText,numbered,Paragraphe de liste1,Bulletr List Paragraph,List Paragraph,Bullet 1,it_List1,асз.Списка,Абзац основного текста,Абзац списка4,Абзац списка3,lp1"/>
    <w:basedOn w:val="a"/>
    <w:link w:val="a4"/>
    <w:uiPriority w:val="34"/>
    <w:qFormat/>
    <w:rsid w:val="00642FD1"/>
    <w:pPr>
      <w:ind w:left="720"/>
      <w:contextualSpacing/>
    </w:p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Bullet List Знак,FooterText Знак,numbered Знак,Paragraphe de liste1 Знак,Bulletr List Paragraph Знак,List Paragraph Знак,Bullet 1 Знак,it_List1 Знак"/>
    <w:link w:val="a3"/>
    <w:uiPriority w:val="34"/>
    <w:qFormat/>
    <w:locked/>
    <w:rsid w:val="00642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42FD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generalmz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1</cp:revision>
  <dcterms:created xsi:type="dcterms:W3CDTF">2022-11-17T04:20:00Z</dcterms:created>
  <dcterms:modified xsi:type="dcterms:W3CDTF">2022-11-17T04:20:00Z</dcterms:modified>
</cp:coreProperties>
</file>