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02"/>
        <w:gridCol w:w="4836"/>
      </w:tblGrid>
      <w:tr>
        <w:trPr/>
        <w:tc>
          <w:tcPr>
            <w:tcW w:w="4802" w:type="dxa"/>
            <w:tcBorders/>
            <w:shd w:color="auto" w:fill="auto" w:val="clear"/>
          </w:tcPr>
          <w:p>
            <w:pPr>
              <w:pStyle w:val="Normal"/>
              <w:widowControl w:val="false"/>
              <w:spacing w:lineRule="auto" w:line="276" w:before="0" w:after="0"/>
              <w:jc w:val="both"/>
              <w:rPr>
                <w:rFonts w:ascii="Times New Roman" w:hAnsi="Times New Roman" w:eastAsia="Times New Roman" w:cs="Times New Roman"/>
                <w:sz w:val="20"/>
                <w:szCs w:val="24"/>
                <w:lang w:eastAsia="ru-RU"/>
              </w:rPr>
            </w:pPr>
            <w:r>
              <w:rPr>
                <w:rFonts w:eastAsia="Times New Roman" w:cs="Times New Roman" w:ascii="Times New Roman" w:hAnsi="Times New Roman"/>
                <w:sz w:val="20"/>
                <w:szCs w:val="24"/>
                <w:lang w:eastAsia="ru-RU"/>
              </w:rPr>
            </w:r>
          </w:p>
        </w:tc>
        <w:tc>
          <w:tcPr>
            <w:tcW w:w="4836" w:type="dxa"/>
            <w:tcBorders/>
            <w:shd w:color="auto" w:fill="auto" w:val="clear"/>
          </w:tcPr>
          <w:p>
            <w:pPr>
              <w:pStyle w:val="Normal"/>
              <w:widowControl w:val="false"/>
              <w:spacing w:lineRule="auto" w:line="276" w:before="0" w:after="0"/>
              <w:ind w:left="1028" w:hanging="0"/>
              <w:jc w:val="both"/>
              <w:rPr>
                <w:rFonts w:ascii="Times New Roman" w:hAnsi="Times New Roman" w:eastAsia="Times New Roman" w:cs="Times New Roman"/>
                <w:sz w:val="20"/>
                <w:szCs w:val="24"/>
                <w:lang w:eastAsia="ru-RU"/>
              </w:rPr>
            </w:pPr>
            <w:r>
              <w:rPr>
                <w:rFonts w:eastAsia="Times New Roman" w:cs="Times New Roman" w:ascii="Times New Roman" w:hAnsi="Times New Roman"/>
                <w:sz w:val="20"/>
                <w:szCs w:val="24"/>
                <w:lang w:eastAsia="ru-RU"/>
              </w:rPr>
            </w:r>
          </w:p>
        </w:tc>
      </w:tr>
    </w:tbl>
    <w:p>
      <w:pPr>
        <w:pStyle w:val="Normal"/>
        <w:rPr/>
      </w:pPr>
      <w:r>
        <w:rPr/>
      </w:r>
    </w:p>
    <w:p>
      <w:pPr>
        <w:pStyle w:val="NoSpacing"/>
        <w:spacing w:lineRule="auto" w:line="276"/>
        <w:jc w:val="center"/>
        <w:rPr>
          <w:rFonts w:ascii="Times New Roman" w:hAnsi="Times New Roman" w:cs="Times New Roman"/>
          <w:b/>
          <w:b/>
          <w:sz w:val="24"/>
          <w:szCs w:val="24"/>
        </w:rPr>
      </w:pPr>
      <w:r>
        <w:rPr>
          <w:rFonts w:cs="Times New Roman" w:ascii="Times New Roman" w:hAnsi="Times New Roman"/>
          <w:b/>
          <w:sz w:val="24"/>
          <w:szCs w:val="24"/>
        </w:rPr>
        <w:t>Техническое задание</w:t>
      </w:r>
    </w:p>
    <w:p>
      <w:pPr>
        <w:pStyle w:val="NoSpacing"/>
        <w:spacing w:lineRule="auto" w:line="276"/>
        <w:jc w:val="center"/>
        <w:rPr>
          <w:rFonts w:ascii="Times New Roman" w:hAnsi="Times New Roman" w:cs="Times New Roman"/>
          <w:b/>
          <w:b/>
          <w:sz w:val="24"/>
          <w:szCs w:val="24"/>
        </w:rPr>
      </w:pPr>
      <w:r>
        <w:rPr>
          <w:rFonts w:cs="Times New Roman" w:ascii="Times New Roman" w:hAnsi="Times New Roman"/>
          <w:b/>
          <w:sz w:val="24"/>
          <w:szCs w:val="24"/>
        </w:rPr>
        <w:t>на разработку рабочей документации</w:t>
      </w:r>
    </w:p>
    <w:p>
      <w:pPr>
        <w:pStyle w:val="NoSpacing"/>
        <w:spacing w:lineRule="auto" w:line="276"/>
        <w:jc w:val="center"/>
        <w:rPr>
          <w:rFonts w:ascii="Times New Roman" w:hAnsi="Times New Roman" w:cs="Times New Roman"/>
          <w:b/>
          <w:b/>
          <w:sz w:val="24"/>
          <w:szCs w:val="24"/>
        </w:rPr>
      </w:pPr>
      <w:r>
        <w:rPr>
          <w:rFonts w:cs="Times New Roman" w:ascii="Times New Roman" w:hAnsi="Times New Roman"/>
          <w:b/>
          <w:sz w:val="24"/>
          <w:szCs w:val="24"/>
        </w:rPr>
        <w:t>«Техническое перевооружение по размещению помещения операторной в здание миксерного отделения со складом».</w:t>
      </w:r>
    </w:p>
    <w:p>
      <w:pPr>
        <w:pStyle w:val="NoSpacing"/>
        <w:spacing w:lineRule="auto" w:line="276"/>
        <w:jc w:val="center"/>
        <w:rPr>
          <w:rFonts w:ascii="Cambria" w:hAnsi="Cambria"/>
          <w:b/>
          <w:b/>
        </w:rPr>
      </w:pPr>
      <w:r>
        <w:rPr>
          <w:rFonts w:ascii="Cambria" w:hAnsi="Cambria"/>
          <w:b/>
        </w:rPr>
      </w:r>
    </w:p>
    <w:tbl>
      <w:tblPr>
        <w:tblStyle w:val="a5"/>
        <w:tblW w:w="9634"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827"/>
        <w:gridCol w:w="2711"/>
        <w:gridCol w:w="6096"/>
      </w:tblGrid>
      <w:tr>
        <w:trPr>
          <w:tblHeader w:val="true"/>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w:t>
            </w:r>
          </w:p>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п/п</w:t>
            </w:r>
          </w:p>
        </w:tc>
        <w:tc>
          <w:tcPr>
            <w:tcW w:w="2711"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Перечень сведений </w:t>
            </w:r>
          </w:p>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 требований</w:t>
            </w:r>
          </w:p>
        </w:tc>
        <w:tc>
          <w:tcPr>
            <w:tcW w:w="6096"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Содержание сведений и требований</w:t>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Заказчик</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Основание</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Местонахождение объекта</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4</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Вид строительства</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4.1 Техническое перевооружение.</w:t>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5</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Стадийность проектирования</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5.1  Предпроектная подготовка </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5.2  Рабочая документация</w:t>
            </w:r>
          </w:p>
          <w:p>
            <w:pPr>
              <w:pStyle w:val="Normal"/>
              <w:widowControl/>
              <w:numPr>
                <w:ilvl w:val="0"/>
                <w:numId w:val="1"/>
              </w:numPr>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пояснительная записка;</w:t>
            </w:r>
          </w:p>
          <w:p>
            <w:pPr>
              <w:pStyle w:val="Normal"/>
              <w:widowControl/>
              <w:numPr>
                <w:ilvl w:val="0"/>
                <w:numId w:val="1"/>
              </w:numPr>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рабочие чертежи</w:t>
            </w:r>
          </w:p>
          <w:p>
            <w:pPr>
              <w:pStyle w:val="Normal"/>
              <w:widowControl/>
              <w:numPr>
                <w:ilvl w:val="0"/>
                <w:numId w:val="1"/>
              </w:numPr>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спецификация  изделий и материалов</w:t>
            </w:r>
          </w:p>
          <w:p>
            <w:pPr>
              <w:pStyle w:val="Normal"/>
              <w:widowControl/>
              <w:numPr>
                <w:ilvl w:val="0"/>
                <w:numId w:val="1"/>
              </w:numPr>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ведомость объемов работ</w:t>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6</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Исходные данные </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6.1 План расположения оборудования здания миксерного отделения со складом по проекту 77075-РК-1-КР (листы 1-11)</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6.2 Схема расположения помещения операторной (приложение 1)</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6.3 Схема планировочной организации земельного участка 77075-РК-1-ПЗУ</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6.4 Комплексная автоматизация 77075-РК-1-АТХ</w:t>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7</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Порядок разработки документации и объема работ</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7.1  Рассмотреть возможность размещения операторной в здании миксерного отделения со складом в осях 1-2/А-Б (проект 77075-РК-1-КР)</w:t>
            </w:r>
          </w:p>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Объем проектирования:</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объемно-планировочные решения</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конструктивные решения</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перенос АСУ ТП</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прокладка и подключение коммуникаций к существующим сетям завода</w:t>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8</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Требования к срокам выполнения работ.</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8.1 Срок начала работ – с момента заключения договора</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8.2 Сроком окончания считается сдача Подрядчиком Заказчику работ по акту выполненных работ.</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8.3 Срок выполнения работ определяется графиком производства работ (приложение к договору)</w:t>
            </w:r>
          </w:p>
        </w:tc>
      </w:tr>
      <w:tr>
        <w:trPr/>
        <w:tc>
          <w:tcPr>
            <w:tcW w:w="827" w:type="dxa"/>
            <w:tcBorders/>
          </w:tcPr>
          <w:p>
            <w:pPr>
              <w:pStyle w:val="NoSpacing"/>
              <w:widowControl/>
              <w:spacing w:lineRule="auto" w:line="276"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9</w:t>
            </w:r>
          </w:p>
        </w:tc>
        <w:tc>
          <w:tcPr>
            <w:tcW w:w="2711" w:type="dxa"/>
            <w:tcBorders/>
          </w:tcPr>
          <w:p>
            <w:pPr>
              <w:pStyle w:val="NoSpacing"/>
              <w:widowControl/>
              <w:spacing w:lineRule="auto" w:line="276"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Объем работ</w:t>
            </w:r>
          </w:p>
        </w:tc>
        <w:tc>
          <w:tcPr>
            <w:tcW w:w="6096" w:type="dxa"/>
            <w:tcBorders/>
          </w:tcPr>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9.1 Рабочая документация на техническое перевооружение (в том числе пояснительная записка, графическая часть, рабочая документация с соответствующими разделами) в необходимом объеме для прохождения экспертизы промышленной безопасности с получением положительного заключения.</w:t>
            </w:r>
          </w:p>
          <w:p>
            <w:pPr>
              <w:pStyle w:val="NoSpacing"/>
              <w:widowControl/>
              <w:spacing w:lineRule="auto" w:line="276"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9.2  Проведение экспертизы промышленной безопасности к разработанной документации. </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10</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Цель проектирования</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10.1 Приведение производства к нормам и правилам промышленной и пожарной безопасности действующим на территории РФ</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10.2 Внедрение эффективных процессов для улучшения качества производимого продукта.</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11</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Требования к Участнику</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11.1 Наличие у Участника разрешительной документации на соответствующий вид деятельности (копии Свидетельства о допуске СРО на виды работ, соответствующие предмету запроса предложений). Указанная документация не должна быть отозвана, ее действие не должно быть приостановлено или прекращено на момент окончания срока подачи заявок на участие в запросе предложений. </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11.2 Участник должен обладать опытом выполнения проектных работ не менее 2-х лет.</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11.3 Участник должен обладать численностью персонала не менее 3-х специалистов с профильным образованием, с предоставлением копий документов.</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12</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Порядок приемки выполненных работ</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12.1 Приемка выполненных работ осуществляется после выполнения всего комплекса работ, предусмотренного договором в соответствии с настоящим техническим заданием по акту приемки законченных работ.</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12.2 Законченные работы предъявить для приемки представителями заказчика в сроки, оговоренные договором.</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13</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Требования по обеспечению безопасности проектных решений </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13.1 Проектные решения должны соответствовать требованиям пожарной, промышленной безопасности на ОПО, а также соответствовать нормам и правилам действующим на территории РФ.</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14</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Требования к разрабатываемой документации</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14.1 Проектно-сметная и рабочая документация должна быть разработана в соответствии с:</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Постановлением Правительства РФ от 16.02.2008 № 87 «О составе разделов проектной документации и требованиях к их содержанию»;</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ГОСТ 21.101-2020 «Основные требования к проектной и рабочей документации</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Федеральным законом № 116-ФЗ «О промышленной безопасности опасных производственных объектов»;</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Федеральным законом от 22.07.2008 № 123-ФЗ «Технический регламент о требованиях пожарной безопасности»;</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Федеральным законом от 30 декабря 2009 г. № 384-ФЗ «Технический регламент о безопасности зданий и сооружений»;</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Федеральным законом от 27 декабря 2002 г. 184-ФЗ «О техническом регулировании»;</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Градостроительным кодексом РФ (от 29.12.2004 № 190-ФЗ);</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ГОСТ Р 21.1101-2013 «Система проектной документации для строительства. Основные требования к проектной и рабочей документации»;</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 (утверждён приказом МЧС России от 31 июля 2020 г. N 582);</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 155.13130.2014 Склады нефти и нефтепродуктов требования пожарной безопасности, утверждённые 26.12.2013 приказом № 837 МЧС России.</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ГОСТ 31385-2016 «Резервуары вертикальные цилиндрические стальные для нефти и нефтепродуктов»</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СанПиН 2.2.1/2.1.1.1200-03 «Санитарно-защитные зоны и санитарная классификация предприятий, сооружений и иных объектов»;</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Правилами устройства электроустановок.</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15</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Требования к качеству выполнения работ</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15.1 Работы выполнять с соблюдением технических, экономических и других требований в соответствии с действующими нормативно-техническими документами, правилами, инструкциями, национальными стандартами, техническими регламентами и другими действующими нормативными актами РФ, регламентирующими технологический уровень, качество и комплектность работ.</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16</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Согласование проекта</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16.1 Провести согласование рабочей документации со службами Заказчика.</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16.2 До окончания и сдачи работ по проектированию все решения согласовываются с Заказчиком</w:t>
            </w:r>
          </w:p>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16.3 Все изменения и дополнения к настоящему Заданию оформляются в письменном виде по согласованию с Заказчиком.</w:t>
            </w:r>
          </w:p>
        </w:tc>
      </w:tr>
      <w:tr>
        <w:trPr/>
        <w:tc>
          <w:tcPr>
            <w:tcW w:w="827" w:type="dxa"/>
            <w:tcBorders/>
          </w:tcPr>
          <w:p>
            <w:pPr>
              <w:pStyle w:val="NoSpacing"/>
              <w:widowControl/>
              <w:spacing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17</w:t>
            </w:r>
          </w:p>
        </w:tc>
        <w:tc>
          <w:tcPr>
            <w:tcW w:w="2711" w:type="dxa"/>
            <w:tcBorders/>
          </w:tcPr>
          <w:p>
            <w:pPr>
              <w:pStyle w:val="NoSpacing"/>
              <w:widowControl/>
              <w:spacing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Требования к передаваемой документации</w:t>
            </w:r>
          </w:p>
        </w:tc>
        <w:tc>
          <w:tcPr>
            <w:tcW w:w="6096" w:type="dxa"/>
            <w:tcBorders/>
          </w:tcPr>
          <w:p>
            <w:pPr>
              <w:pStyle w:val="NoSpacing"/>
              <w:widowControl/>
              <w:spacing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eastAsia="en-US" w:bidi="ar-SA"/>
              </w:rPr>
            </w:r>
          </w:p>
        </w:tc>
      </w:tr>
    </w:tbl>
    <w:p>
      <w:pPr>
        <w:pStyle w:val="NoSpacing"/>
        <w:spacing w:lineRule="auto" w:line="276"/>
        <w:rPr>
          <w:rFonts w:ascii="Cambria" w:hAnsi="Cambria"/>
          <w:b/>
          <w:b/>
          <w:sz w:val="20"/>
        </w:rPr>
      </w:pPr>
      <w:r>
        <w:rPr>
          <w:rFonts w:ascii="Cambria" w:hAnsi="Cambria"/>
          <w:b/>
          <w:sz w:val="20"/>
        </w:rPr>
      </w:r>
    </w:p>
    <w:p>
      <w:pPr>
        <w:pStyle w:val="NoSpacing"/>
        <w:spacing w:lineRule="auto" w:line="276"/>
        <w:rPr>
          <w:rFonts w:ascii="Cambria" w:hAnsi="Cambria"/>
          <w:b/>
          <w:b/>
          <w:sz w:val="20"/>
        </w:rPr>
      </w:pPr>
      <w:r>
        <w:rPr>
          <w:rFonts w:ascii="Cambria" w:hAnsi="Cambria"/>
          <w:b/>
          <w:sz w:val="20"/>
        </w:rPr>
      </w:r>
    </w:p>
    <w:p>
      <w:pPr>
        <w:pStyle w:val="NoSpacing"/>
        <w:spacing w:lineRule="auto" w:line="276"/>
        <w:rPr>
          <w:rFonts w:ascii="Cambria" w:hAnsi="Cambria"/>
          <w:b/>
          <w:b/>
          <w:sz w:val="20"/>
        </w:rPr>
      </w:pPr>
      <w:r>
        <w:rPr>
          <w:rFonts w:ascii="Cambria" w:hAnsi="Cambria"/>
          <w:b/>
          <w:sz w:val="20"/>
        </w:rPr>
      </w:r>
    </w:p>
    <w:p>
      <w:pPr>
        <w:pStyle w:val="NoSpacing"/>
        <w:spacing w:lineRule="auto" w:line="276"/>
        <w:rPr>
          <w:rFonts w:ascii="Times New Roman" w:hAnsi="Times New Roman" w:cs="Times New Roman"/>
          <w:sz w:val="24"/>
          <w:szCs w:val="24"/>
        </w:rPr>
      </w:pPr>
      <w:r>
        <w:rPr>
          <w:rFonts w:cs="Times New Roman" w:ascii="Times New Roman" w:hAnsi="Times New Roman"/>
          <w:b/>
          <w:sz w:val="24"/>
          <w:szCs w:val="24"/>
        </w:rPr>
        <w:t xml:space="preserve">Приложения: </w:t>
      </w:r>
      <w:r>
        <w:rPr>
          <w:rFonts w:cs="Times New Roman" w:ascii="Times New Roman" w:hAnsi="Times New Roman"/>
          <w:sz w:val="24"/>
          <w:szCs w:val="24"/>
        </w:rPr>
        <w:t>1.</w:t>
      </w:r>
      <w:r>
        <w:rPr>
          <w:rFonts w:cs="Times New Roman" w:ascii="Times New Roman" w:hAnsi="Times New Roman"/>
          <w:b/>
          <w:sz w:val="24"/>
          <w:szCs w:val="24"/>
        </w:rPr>
        <w:t xml:space="preserve"> </w:t>
      </w:r>
      <w:r>
        <w:rPr>
          <w:rFonts w:cs="Times New Roman" w:ascii="Times New Roman" w:hAnsi="Times New Roman"/>
          <w:sz w:val="24"/>
          <w:szCs w:val="24"/>
        </w:rPr>
        <w:t>схема расположения помещения операторной</w:t>
      </w:r>
    </w:p>
    <w:p>
      <w:pPr>
        <w:pStyle w:val="NoSpacing"/>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проект 77075-РК-1-КР</w:t>
      </w:r>
    </w:p>
    <w:p>
      <w:pPr>
        <w:pStyle w:val="NoSpacing"/>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 проект 77075-РК-1-ПЗУ</w:t>
      </w:r>
    </w:p>
    <w:p>
      <w:pPr>
        <w:pStyle w:val="NoSpacing"/>
        <w:spacing w:lineRule="auto" w:line="27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 проект 77075-РК-1-АТХ</w:t>
      </w:r>
      <w:bookmarkStart w:id="0" w:name="_GoBack"/>
      <w:bookmarkEnd w:id="0"/>
    </w:p>
    <w:p>
      <w:pPr>
        <w:pStyle w:val="NoSpacing"/>
        <w:spacing w:lineRule="auto" w:line="276"/>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5. генплан (формат </w:t>
      </w:r>
      <w:r>
        <w:rPr>
          <w:rFonts w:cs="Times New Roman" w:ascii="Times New Roman" w:hAnsi="Times New Roman"/>
          <w:sz w:val="24"/>
          <w:szCs w:val="24"/>
          <w:lang w:val="en-US"/>
        </w:rPr>
        <w:t>dwg</w:t>
      </w:r>
      <w:r>
        <w:rPr>
          <w:rFonts w:cs="Times New Roman" w:ascii="Times New Roman" w:hAnsi="Times New Roman"/>
          <w:sz w:val="24"/>
          <w:szCs w:val="24"/>
        </w:rPr>
        <w:t>)</w:t>
      </w:r>
    </w:p>
    <w:p>
      <w:pPr>
        <w:pStyle w:val="NoSpacing"/>
        <w:spacing w:lineRule="auto" w:line="276"/>
        <w:rPr>
          <w:rFonts w:ascii="Times New Roman" w:hAnsi="Times New Roman" w:cs="Times New Roman"/>
          <w:b/>
          <w:b/>
          <w:sz w:val="24"/>
          <w:szCs w:val="24"/>
        </w:rPr>
      </w:pPr>
      <w:r>
        <w:rPr/>
      </w:r>
    </w:p>
    <w:sectPr>
      <w:type w:val="nextPage"/>
      <w:pgSz w:w="11906" w:h="16838"/>
      <w:pgMar w:left="1701" w:right="566"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021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итумное производство Знак"/>
    <w:basedOn w:val="DefaultParagraphFont"/>
    <w:link w:val="a"/>
    <w:qFormat/>
    <w:rsid w:val="002d6d0c"/>
    <w:rPr>
      <w:rFonts w:ascii="Cambria" w:hAnsi="Cambria" w:eastAsia="Times New Roman" w:cs="Times New Roman"/>
      <w:sz w:val="26"/>
      <w:szCs w:val="24"/>
      <w:lang w:eastAsia="ru-RU"/>
    </w:rPr>
  </w:style>
  <w:style w:type="character" w:styleId="Style15" w:customStyle="1">
    <w:name w:val="Верхний колонтитул Знак"/>
    <w:basedOn w:val="DefaultParagraphFont"/>
    <w:link w:val="a7"/>
    <w:uiPriority w:val="99"/>
    <w:qFormat/>
    <w:rsid w:val="00120d5c"/>
    <w:rPr/>
  </w:style>
  <w:style w:type="character" w:styleId="Style16" w:customStyle="1">
    <w:name w:val="Нижний колонтитул Знак"/>
    <w:basedOn w:val="DefaultParagraphFont"/>
    <w:link w:val="a9"/>
    <w:uiPriority w:val="99"/>
    <w:qFormat/>
    <w:rsid w:val="00120d5c"/>
    <w:rPr/>
  </w:style>
  <w:style w:type="character" w:styleId="Style17" w:customStyle="1">
    <w:name w:val="Текст выноски Знак"/>
    <w:basedOn w:val="DefaultParagraphFont"/>
    <w:link w:val="ac"/>
    <w:uiPriority w:val="99"/>
    <w:semiHidden/>
    <w:qFormat/>
    <w:rsid w:val="00242cb9"/>
    <w:rPr>
      <w:rFonts w:ascii="Segoe UI" w:hAnsi="Segoe UI" w:cs="Segoe UI"/>
      <w:sz w:val="18"/>
      <w:szCs w:val="18"/>
    </w:rPr>
  </w:style>
  <w:style w:type="character" w:styleId="FontStyle51" w:customStyle="1">
    <w:name w:val="Font Style51"/>
    <w:qFormat/>
    <w:rsid w:val="003f7469"/>
    <w:rPr>
      <w:rFonts w:ascii="Times New Roman" w:hAnsi="Times New Roman" w:cs="Times New Roman"/>
      <w:sz w:val="20"/>
      <w:szCs w:val="20"/>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lang w:val="zxx" w:eastAsia="zxx" w:bidi="zxx"/>
    </w:rPr>
  </w:style>
  <w:style w:type="paragraph" w:styleId="Style23" w:customStyle="1">
    <w:name w:val="Битумное производство"/>
    <w:basedOn w:val="Normal"/>
    <w:link w:val="a4"/>
    <w:qFormat/>
    <w:rsid w:val="002d6d0c"/>
    <w:pPr>
      <w:spacing w:lineRule="auto" w:line="240" w:before="120" w:after="120"/>
      <w:ind w:left="1069" w:hanging="360"/>
      <w:jc w:val="both"/>
      <w:outlineLvl w:val="0"/>
    </w:pPr>
    <w:rPr>
      <w:rFonts w:ascii="Cambria" w:hAnsi="Cambria" w:eastAsia="Times New Roman" w:cs="Times New Roman"/>
      <w:sz w:val="26"/>
      <w:szCs w:val="24"/>
      <w:lang w:eastAsia="ru-RU"/>
    </w:rPr>
  </w:style>
  <w:style w:type="paragraph" w:styleId="NoSpacing">
    <w:name w:val="No Spacing"/>
    <w:uiPriority w:val="1"/>
    <w:qFormat/>
    <w:rsid w:val="0016202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4">
    <w:name w:val="Колонтитул"/>
    <w:basedOn w:val="Normal"/>
    <w:qFormat/>
    <w:pPr/>
    <w:rPr/>
  </w:style>
  <w:style w:type="paragraph" w:styleId="Style25">
    <w:name w:val="Header"/>
    <w:basedOn w:val="Normal"/>
    <w:link w:val="a8"/>
    <w:uiPriority w:val="99"/>
    <w:unhideWhenUsed/>
    <w:rsid w:val="00120d5c"/>
    <w:pPr>
      <w:tabs>
        <w:tab w:val="clear" w:pos="708"/>
        <w:tab w:val="center" w:pos="4677" w:leader="none"/>
        <w:tab w:val="right" w:pos="9355" w:leader="none"/>
      </w:tabs>
      <w:spacing w:lineRule="auto" w:line="240" w:before="0" w:after="0"/>
    </w:pPr>
    <w:rPr/>
  </w:style>
  <w:style w:type="paragraph" w:styleId="Style26">
    <w:name w:val="Footer"/>
    <w:basedOn w:val="Normal"/>
    <w:link w:val="aa"/>
    <w:uiPriority w:val="99"/>
    <w:unhideWhenUsed/>
    <w:rsid w:val="00120d5c"/>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440628"/>
    <w:pPr>
      <w:spacing w:before="0" w:after="160"/>
      <w:ind w:left="720" w:hanging="0"/>
      <w:contextualSpacing/>
    </w:pPr>
    <w:rPr/>
  </w:style>
  <w:style w:type="paragraph" w:styleId="BalloonText">
    <w:name w:val="Balloon Text"/>
    <w:basedOn w:val="Normal"/>
    <w:link w:val="ad"/>
    <w:uiPriority w:val="99"/>
    <w:semiHidden/>
    <w:unhideWhenUsed/>
    <w:qFormat/>
    <w:rsid w:val="00242cb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5">
    <w:name w:val="Table Grid"/>
    <w:basedOn w:val="a2"/>
    <w:uiPriority w:val="39"/>
    <w:rsid w:val="002a7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E8BC-DA4C-40E4-B709-EA7D808A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Application>LibreOffice/7.2.7.2$Windows_X86_64 LibreOffice_project/8d71d29d553c0f7dcbfa38fbfda25ee34cce99a2</Application>
  <AppVersion>15.0000</AppVersion>
  <Pages>3</Pages>
  <Words>684</Words>
  <Characters>4937</Characters>
  <CharactersWithSpaces>5639</CharactersWithSpaces>
  <Paragraphs>95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2022-07-22T07:00:00Z</dcterms:created>
  <dc:creator>Богданов Артем Геннадьевич</dc:creator>
  <dc:description/>
  <dc:language>ru-RU</dc:language>
  <cp:lastModifiedBy/>
  <cp:lastPrinted>2020-09-29T09:36:00Z</cp:lastPrinted>
  <dcterms:modified xsi:type="dcterms:W3CDTF">2022-08-22T19:40:39Z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