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6E27" w14:textId="77777777" w:rsidR="005954AC" w:rsidRDefault="005954AC" w:rsidP="005954AC">
      <w:pPr>
        <w:jc w:val="center"/>
        <w:rPr>
          <w:b/>
          <w:bCs/>
        </w:rPr>
      </w:pPr>
      <w:r>
        <w:rPr>
          <w:b/>
          <w:bCs/>
        </w:rPr>
        <w:t>ЗАДАНИЕ НА ПРОЕКТИРОВАНИЕ</w:t>
      </w:r>
    </w:p>
    <w:p w14:paraId="149EC3CF" w14:textId="77777777" w:rsidR="005954AC" w:rsidRPr="00C81041" w:rsidRDefault="005954AC" w:rsidP="005954AC">
      <w:pPr>
        <w:jc w:val="center"/>
      </w:pPr>
      <w:r>
        <w:rPr>
          <w:b/>
          <w:bCs/>
        </w:rPr>
        <w:t xml:space="preserve">по объекту </w:t>
      </w:r>
      <w:r w:rsidRPr="00C81041">
        <w:t>«Строительство внутрихозяйственной оросительной системы ООО «Совхоз Рубцовский» в Рубцовском районе Алтайского края»</w:t>
      </w:r>
      <w:r>
        <w:t xml:space="preserve"> </w:t>
      </w:r>
    </w:p>
    <w:p w14:paraId="29CA966C" w14:textId="77777777" w:rsidR="005954AC" w:rsidRDefault="005954AC" w:rsidP="005954AC">
      <w:pPr>
        <w:jc w:val="center"/>
        <w:rPr>
          <w:b/>
          <w:bCs/>
        </w:rPr>
      </w:pPr>
    </w:p>
    <w:p w14:paraId="5BF965E1" w14:textId="77777777" w:rsidR="005954AC" w:rsidRDefault="005954AC" w:rsidP="005954AC">
      <w:pPr>
        <w:jc w:val="center"/>
        <w:rPr>
          <w:b/>
          <w:bCs/>
        </w:rPr>
      </w:pPr>
    </w:p>
    <w:tbl>
      <w:tblPr>
        <w:tblStyle w:val="a3"/>
        <w:tblW w:w="0" w:type="auto"/>
        <w:tblLook w:val="04A0" w:firstRow="1" w:lastRow="0" w:firstColumn="1" w:lastColumn="0" w:noHBand="0" w:noVBand="1"/>
      </w:tblPr>
      <w:tblGrid>
        <w:gridCol w:w="526"/>
        <w:gridCol w:w="2076"/>
        <w:gridCol w:w="6740"/>
      </w:tblGrid>
      <w:tr w:rsidR="005954AC" w14:paraId="57EF89BE" w14:textId="77777777" w:rsidTr="005C147D">
        <w:tc>
          <w:tcPr>
            <w:tcW w:w="526" w:type="dxa"/>
          </w:tcPr>
          <w:p w14:paraId="09C64EDF" w14:textId="77777777" w:rsidR="005954AC" w:rsidRDefault="005954AC" w:rsidP="005C147D">
            <w:pPr>
              <w:jc w:val="center"/>
            </w:pPr>
            <w:r>
              <w:t>1.</w:t>
            </w:r>
          </w:p>
        </w:tc>
        <w:tc>
          <w:tcPr>
            <w:tcW w:w="2076" w:type="dxa"/>
          </w:tcPr>
          <w:p w14:paraId="17CC643B" w14:textId="77777777" w:rsidR="005954AC" w:rsidRDefault="005954AC" w:rsidP="005C147D">
            <w:pPr>
              <w:jc w:val="center"/>
            </w:pPr>
            <w:r>
              <w:t>Основание для разработки документации</w:t>
            </w:r>
          </w:p>
        </w:tc>
        <w:tc>
          <w:tcPr>
            <w:tcW w:w="6740" w:type="dxa"/>
          </w:tcPr>
          <w:p w14:paraId="172DED26" w14:textId="77777777" w:rsidR="005954AC" w:rsidRDefault="005954AC" w:rsidP="005C147D">
            <w:r>
              <w:t>Договор на разработку проектно-сметной документации.</w:t>
            </w:r>
          </w:p>
        </w:tc>
      </w:tr>
      <w:tr w:rsidR="005954AC" w14:paraId="4123842A" w14:textId="77777777" w:rsidTr="005C147D">
        <w:tc>
          <w:tcPr>
            <w:tcW w:w="526" w:type="dxa"/>
          </w:tcPr>
          <w:p w14:paraId="1B842E0B" w14:textId="77777777" w:rsidR="005954AC" w:rsidRDefault="005954AC" w:rsidP="005C147D">
            <w:pPr>
              <w:jc w:val="center"/>
            </w:pPr>
            <w:r>
              <w:t>2.</w:t>
            </w:r>
          </w:p>
        </w:tc>
        <w:tc>
          <w:tcPr>
            <w:tcW w:w="2076" w:type="dxa"/>
          </w:tcPr>
          <w:p w14:paraId="38E724AD" w14:textId="77777777" w:rsidR="005954AC" w:rsidRDefault="005954AC" w:rsidP="005C147D">
            <w:pPr>
              <w:jc w:val="center"/>
            </w:pPr>
            <w:r>
              <w:t>Исходные данные (предоставляются Заказчиком)</w:t>
            </w:r>
          </w:p>
        </w:tc>
        <w:tc>
          <w:tcPr>
            <w:tcW w:w="6740" w:type="dxa"/>
          </w:tcPr>
          <w:p w14:paraId="1676E208" w14:textId="77777777" w:rsidR="005954AC" w:rsidRDefault="005954AC" w:rsidP="005954AC">
            <w:pPr>
              <w:pStyle w:val="a4"/>
              <w:numPr>
                <w:ilvl w:val="0"/>
                <w:numId w:val="1"/>
              </w:numPr>
            </w:pPr>
            <w:r>
              <w:t>Геодезические исследования</w:t>
            </w:r>
          </w:p>
          <w:p w14:paraId="69CA16EF" w14:textId="77777777" w:rsidR="005954AC" w:rsidRDefault="005954AC" w:rsidP="005954AC">
            <w:pPr>
              <w:pStyle w:val="a4"/>
              <w:numPr>
                <w:ilvl w:val="0"/>
                <w:numId w:val="1"/>
              </w:numPr>
            </w:pPr>
            <w:r>
              <w:t>Гидрогеологическое исследование</w:t>
            </w:r>
          </w:p>
          <w:p w14:paraId="08DEBA5A" w14:textId="77777777" w:rsidR="005954AC" w:rsidRDefault="005954AC" w:rsidP="005954AC">
            <w:pPr>
              <w:pStyle w:val="a4"/>
              <w:numPr>
                <w:ilvl w:val="0"/>
                <w:numId w:val="1"/>
              </w:numPr>
            </w:pPr>
            <w:r>
              <w:t>Гидрометеорологическое исследование</w:t>
            </w:r>
          </w:p>
          <w:p w14:paraId="639FB4E8" w14:textId="77777777" w:rsidR="005954AC" w:rsidRDefault="005954AC" w:rsidP="005954AC">
            <w:pPr>
              <w:pStyle w:val="a4"/>
              <w:numPr>
                <w:ilvl w:val="0"/>
                <w:numId w:val="1"/>
              </w:numPr>
            </w:pPr>
            <w:r>
              <w:t>Экологические исследования</w:t>
            </w:r>
          </w:p>
          <w:p w14:paraId="00EC1A8D" w14:textId="77777777" w:rsidR="005954AC" w:rsidRDefault="005954AC" w:rsidP="005954AC">
            <w:pPr>
              <w:pStyle w:val="a4"/>
              <w:numPr>
                <w:ilvl w:val="0"/>
                <w:numId w:val="1"/>
              </w:numPr>
            </w:pPr>
            <w:r>
              <w:t>Почвенно-мелиоративные исследования</w:t>
            </w:r>
          </w:p>
          <w:p w14:paraId="7CC346C5" w14:textId="77777777" w:rsidR="005954AC" w:rsidRDefault="005954AC" w:rsidP="005C147D">
            <w:pPr>
              <w:ind w:left="360"/>
              <w:rPr>
                <w:b/>
                <w:bCs/>
              </w:rPr>
            </w:pPr>
            <w:r w:rsidRPr="00786DD3">
              <w:rPr>
                <w:b/>
                <w:bCs/>
              </w:rPr>
              <w:t>Согласно</w:t>
            </w:r>
            <w:r>
              <w:rPr>
                <w:b/>
                <w:bCs/>
              </w:rPr>
              <w:t xml:space="preserve"> Градостроительного кодекса РФ:</w:t>
            </w:r>
          </w:p>
          <w:p w14:paraId="6A7EF292" w14:textId="77777777" w:rsidR="005954AC" w:rsidRDefault="005954AC" w:rsidP="005954AC">
            <w:pPr>
              <w:pStyle w:val="a4"/>
              <w:numPr>
                <w:ilvl w:val="0"/>
                <w:numId w:val="2"/>
              </w:numPr>
            </w:pPr>
            <w:r>
              <w:t>Проект планировки и межевания</w:t>
            </w:r>
            <w:r w:rsidRPr="002A2329">
              <w:t xml:space="preserve"> (согласно СТ.44 Градостроительного кодекса РФ);</w:t>
            </w:r>
          </w:p>
          <w:p w14:paraId="232CABEC" w14:textId="77777777" w:rsidR="005954AC" w:rsidRPr="00E64C27" w:rsidRDefault="005954AC" w:rsidP="005954AC">
            <w:pPr>
              <w:pStyle w:val="a4"/>
              <w:numPr>
                <w:ilvl w:val="0"/>
                <w:numId w:val="2"/>
              </w:numPr>
              <w:rPr>
                <w:b/>
                <w:bCs/>
              </w:rPr>
            </w:pPr>
            <w:r>
              <w:t>Правоустанавливающие документы на земельные участки, участвующие в орошении (свидетельства государственной регистрации собственности либо договоры аренды, выписки из единого государственного реестра недвижимости);</w:t>
            </w:r>
          </w:p>
          <w:p w14:paraId="03CC5142" w14:textId="77777777" w:rsidR="005954AC" w:rsidRDefault="005954AC" w:rsidP="005954AC">
            <w:pPr>
              <w:pStyle w:val="a4"/>
              <w:numPr>
                <w:ilvl w:val="0"/>
                <w:numId w:val="2"/>
              </w:numPr>
            </w:pPr>
            <w:r w:rsidRPr="00490D29">
              <w:t>Технические условия</w:t>
            </w:r>
            <w:r>
              <w:t xml:space="preserve"> на пересекаемые трассой проектируемого трубопровода орошения прочих сетей инфраструктуры;</w:t>
            </w:r>
          </w:p>
          <w:p w14:paraId="50560041" w14:textId="77777777" w:rsidR="005954AC" w:rsidRDefault="005954AC" w:rsidP="005C147D">
            <w:pPr>
              <w:pStyle w:val="a4"/>
            </w:pPr>
          </w:p>
          <w:p w14:paraId="0E54AF0F" w14:textId="77777777" w:rsidR="005954AC" w:rsidRDefault="005954AC" w:rsidP="005C147D">
            <w:pPr>
              <w:ind w:left="360"/>
              <w:rPr>
                <w:b/>
                <w:bCs/>
              </w:rPr>
            </w:pPr>
            <w:r>
              <w:rPr>
                <w:b/>
                <w:bCs/>
              </w:rPr>
              <w:t>Для соблюдения природоохранного законодательства при разработке отдела «Мероприятия по охране окружающей среды»:</w:t>
            </w:r>
          </w:p>
          <w:p w14:paraId="61CC8613" w14:textId="77777777" w:rsidR="005954AC" w:rsidRPr="007122A9" w:rsidRDefault="005954AC" w:rsidP="005954AC">
            <w:pPr>
              <w:pStyle w:val="a4"/>
              <w:numPr>
                <w:ilvl w:val="0"/>
                <w:numId w:val="3"/>
              </w:numPr>
              <w:rPr>
                <w:b/>
                <w:bCs/>
              </w:rPr>
            </w:pPr>
            <w:r>
              <w:t>Справка о фоновых концентрациях загрязняющий веществ, перечень веществ, по которым устанавливается фон: пыль, диоксид серы, оксид углерода, диоксид азота, сероводород, выданный метеорологической службой района строительства;</w:t>
            </w:r>
          </w:p>
          <w:p w14:paraId="7E406682" w14:textId="77777777" w:rsidR="005954AC" w:rsidRPr="00376E0E" w:rsidRDefault="005954AC" w:rsidP="005954AC">
            <w:pPr>
              <w:pStyle w:val="a4"/>
              <w:numPr>
                <w:ilvl w:val="0"/>
                <w:numId w:val="3"/>
              </w:numPr>
              <w:rPr>
                <w:b/>
                <w:bCs/>
              </w:rPr>
            </w:pPr>
            <w:r>
              <w:t>Заключение о наличии (отсутствии) полезных ископаемых в недрах под участком предстоящей застройки, выдаваемой Федеральным агентством по недропользованию;</w:t>
            </w:r>
          </w:p>
          <w:p w14:paraId="07A980BE" w14:textId="77777777" w:rsidR="005954AC" w:rsidRDefault="005954AC" w:rsidP="005954AC">
            <w:pPr>
              <w:pStyle w:val="a4"/>
              <w:numPr>
                <w:ilvl w:val="0"/>
                <w:numId w:val="3"/>
              </w:numPr>
            </w:pPr>
            <w:r w:rsidRPr="00E15AC1">
              <w:t>Справка о наличие в районе строительства особо охраняемых природных территориях, выдаваемая департаментом природных ресурсов и экологии по области</w:t>
            </w:r>
            <w:r>
              <w:t>;</w:t>
            </w:r>
          </w:p>
          <w:p w14:paraId="0CBCA1B7" w14:textId="77777777" w:rsidR="005954AC" w:rsidRDefault="005954AC" w:rsidP="005954AC">
            <w:pPr>
              <w:pStyle w:val="a4"/>
              <w:numPr>
                <w:ilvl w:val="0"/>
                <w:numId w:val="3"/>
              </w:numPr>
            </w:pPr>
            <w:r>
              <w:t>Справка о наличие или отсутствии в районе строительства объектов культурного строительства, включенных в единый государственный реестр объектов культурного наследия народов Российской Федерации, выявленных объектов культурного наследия и объектов, обладающих признаками объекта культурного (в т.ч. археологического) наследия, выдаваемая государственной инспекцией историко-культурного наследия по области;</w:t>
            </w:r>
          </w:p>
          <w:p w14:paraId="3B948ECC" w14:textId="77777777" w:rsidR="005954AC" w:rsidRDefault="005954AC" w:rsidP="005954AC">
            <w:pPr>
              <w:pStyle w:val="a4"/>
              <w:numPr>
                <w:ilvl w:val="0"/>
                <w:numId w:val="3"/>
              </w:numPr>
            </w:pPr>
            <w:r>
              <w:lastRenderedPageBreak/>
              <w:t>Справка от МЧС о расчетном времени прибытия пожарного расчета к объекту строительства, выдаваемая ближайшей пожарной частью;</w:t>
            </w:r>
          </w:p>
          <w:p w14:paraId="4D36ED1E" w14:textId="77777777" w:rsidR="005954AC" w:rsidRPr="00DB1F80" w:rsidRDefault="005954AC" w:rsidP="005954AC">
            <w:pPr>
              <w:pStyle w:val="a4"/>
              <w:numPr>
                <w:ilvl w:val="0"/>
                <w:numId w:val="3"/>
              </w:numPr>
            </w:pPr>
            <w:r w:rsidRPr="00DB1F80">
              <w:t xml:space="preserve">Протоколы лабораторных анализов воды из </w:t>
            </w:r>
            <w:proofErr w:type="gramStart"/>
            <w:r w:rsidRPr="00DB1F80">
              <w:t>мелиоративного  канала</w:t>
            </w:r>
            <w:proofErr w:type="gramEnd"/>
          </w:p>
          <w:p w14:paraId="4F337CE7" w14:textId="77777777" w:rsidR="005954AC" w:rsidRDefault="005954AC" w:rsidP="005C147D">
            <w:pPr>
              <w:ind w:left="360"/>
              <w:rPr>
                <w:b/>
                <w:bCs/>
              </w:rPr>
            </w:pPr>
            <w:r>
              <w:rPr>
                <w:b/>
                <w:bCs/>
              </w:rPr>
              <w:t>Для разработки отдела «Технологические решения»:</w:t>
            </w:r>
          </w:p>
          <w:p w14:paraId="054B7E11" w14:textId="77777777" w:rsidR="005954AC" w:rsidRDefault="005954AC" w:rsidP="005954AC">
            <w:pPr>
              <w:pStyle w:val="a4"/>
              <w:numPr>
                <w:ilvl w:val="0"/>
                <w:numId w:val="4"/>
              </w:numPr>
            </w:pPr>
            <w:r>
              <w:t>Справка о климатических характеристиках района строительства, содержащая, в частности, показатели сумм осадков за вегетационный период, выдаваемая Метеостанцией района строительства;</w:t>
            </w:r>
          </w:p>
          <w:p w14:paraId="3C3004FA" w14:textId="77777777" w:rsidR="005954AC" w:rsidRDefault="005954AC" w:rsidP="005954AC">
            <w:pPr>
              <w:pStyle w:val="a4"/>
              <w:numPr>
                <w:ilvl w:val="0"/>
                <w:numId w:val="4"/>
              </w:numPr>
            </w:pPr>
            <w:r>
              <w:t>Письмо о планируемом севообороте на полях орошения;</w:t>
            </w:r>
          </w:p>
          <w:p w14:paraId="193BCA82" w14:textId="77777777" w:rsidR="005954AC" w:rsidRDefault="005954AC" w:rsidP="005954AC">
            <w:pPr>
              <w:pStyle w:val="a4"/>
              <w:numPr>
                <w:ilvl w:val="0"/>
                <w:numId w:val="4"/>
              </w:numPr>
            </w:pPr>
            <w:r>
              <w:t>Письмо о плановых показателях урожайности по орошаемым культурам, подготовленным Заказчиком, при желании проектируемом проекте орошения по заданным параметрам;</w:t>
            </w:r>
          </w:p>
          <w:p w14:paraId="25D48EFB" w14:textId="77777777" w:rsidR="005954AC" w:rsidRDefault="005954AC" w:rsidP="005954AC">
            <w:pPr>
              <w:pStyle w:val="a4"/>
              <w:numPr>
                <w:ilvl w:val="0"/>
                <w:numId w:val="4"/>
              </w:numPr>
            </w:pPr>
            <w:r>
              <w:t>Письмо о характеристике и количестве планируемых к внесению удобрений, подготовленное Заказчиком при желании проектирования систем орошения по заданным параметрам;</w:t>
            </w:r>
          </w:p>
          <w:p w14:paraId="667DFE09" w14:textId="77777777" w:rsidR="005954AC" w:rsidRDefault="005954AC" w:rsidP="005954AC">
            <w:pPr>
              <w:pStyle w:val="a4"/>
              <w:numPr>
                <w:ilvl w:val="0"/>
                <w:numId w:val="4"/>
              </w:numPr>
            </w:pPr>
            <w:r>
              <w:t>Письмо с данными о современном состоянии сельскохозяйственного предприятия (как то: сфера, направление, общая характеристика деятельности предприятия, объемы производств за последние несколько лет, количественные показатели, характеризующие объемы производств, среднесписочная численность рабочих, инвестиций, динамика развития, перечень имеющихся производственных комплексов, характеристика имеющихся сельскохозяйственных угодий, агрохимические показатели, структура посевных площадей, урожайность за последние годы);</w:t>
            </w:r>
          </w:p>
          <w:p w14:paraId="0A878AB8" w14:textId="77777777" w:rsidR="005954AC" w:rsidRDefault="005954AC" w:rsidP="005954AC">
            <w:pPr>
              <w:pStyle w:val="a4"/>
              <w:numPr>
                <w:ilvl w:val="0"/>
                <w:numId w:val="4"/>
              </w:numPr>
            </w:pPr>
            <w:r>
              <w:t>Установочные чертежи производителя на применяемое оборудование (установки орошения, насосные станции), предоставляемое поставщиком оборудование в случае желания Заказчика использовать в проекте оборудование конкретной торговой марки;</w:t>
            </w:r>
          </w:p>
          <w:p w14:paraId="0CE17A75" w14:textId="77777777" w:rsidR="005954AC" w:rsidRPr="0063315D" w:rsidRDefault="005954AC" w:rsidP="005954AC">
            <w:pPr>
              <w:pStyle w:val="a4"/>
              <w:numPr>
                <w:ilvl w:val="0"/>
                <w:numId w:val="4"/>
              </w:numPr>
            </w:pPr>
            <w:r>
              <w:t>Заверенные Заказчиком копии коммерческих предложений на оборудование и материалы для учеты реальной стоимости сметной документации;</w:t>
            </w:r>
          </w:p>
        </w:tc>
      </w:tr>
      <w:tr w:rsidR="005954AC" w14:paraId="37708199" w14:textId="77777777" w:rsidTr="005C147D">
        <w:tc>
          <w:tcPr>
            <w:tcW w:w="526" w:type="dxa"/>
          </w:tcPr>
          <w:p w14:paraId="0A9218CD" w14:textId="77777777" w:rsidR="005954AC" w:rsidRDefault="005954AC" w:rsidP="005C147D">
            <w:pPr>
              <w:jc w:val="center"/>
            </w:pPr>
            <w:r>
              <w:lastRenderedPageBreak/>
              <w:t>3.</w:t>
            </w:r>
          </w:p>
        </w:tc>
        <w:tc>
          <w:tcPr>
            <w:tcW w:w="2076" w:type="dxa"/>
          </w:tcPr>
          <w:p w14:paraId="21CE2646" w14:textId="77777777" w:rsidR="005954AC" w:rsidRDefault="005954AC" w:rsidP="005C147D">
            <w:pPr>
              <w:jc w:val="center"/>
            </w:pPr>
            <w:r>
              <w:t>Место расположения</w:t>
            </w:r>
          </w:p>
        </w:tc>
        <w:tc>
          <w:tcPr>
            <w:tcW w:w="6740" w:type="dxa"/>
          </w:tcPr>
          <w:p w14:paraId="7C9F0EF0" w14:textId="77777777" w:rsidR="005954AC" w:rsidRDefault="005954AC" w:rsidP="005C147D">
            <w:pPr>
              <w:autoSpaceDE w:val="0"/>
              <w:autoSpaceDN w:val="0"/>
              <w:adjustRightInd w:val="0"/>
            </w:pPr>
            <w:r>
              <w:t>В</w:t>
            </w:r>
            <w:r w:rsidRPr="00C81041">
              <w:t>нутрихозяйственн</w:t>
            </w:r>
            <w:r>
              <w:t>ая</w:t>
            </w:r>
            <w:r w:rsidRPr="00C81041">
              <w:t xml:space="preserve"> оросительн</w:t>
            </w:r>
            <w:r>
              <w:t>ая</w:t>
            </w:r>
            <w:r w:rsidRPr="00C81041">
              <w:t xml:space="preserve"> систем</w:t>
            </w:r>
            <w:r>
              <w:t>а</w:t>
            </w:r>
            <w:r w:rsidRPr="00C81041">
              <w:t xml:space="preserve"> ООО «Совхоз Рубцовский» </w:t>
            </w:r>
          </w:p>
          <w:p w14:paraId="7D0D0046" w14:textId="77777777" w:rsidR="005954AC" w:rsidRDefault="005954AC" w:rsidP="005C147D">
            <w:r>
              <w:t>Адрес: с</w:t>
            </w:r>
            <w:r w:rsidRPr="00C81041">
              <w:t xml:space="preserve">. </w:t>
            </w:r>
            <w:proofErr w:type="spellStart"/>
            <w:r w:rsidRPr="00C81041">
              <w:t>Веселоярск</w:t>
            </w:r>
            <w:proofErr w:type="spellEnd"/>
            <w:r w:rsidRPr="00C81041">
              <w:t xml:space="preserve">. Рубцовский район. </w:t>
            </w:r>
            <w:r>
              <w:t>Алтайский край</w:t>
            </w:r>
          </w:p>
          <w:p w14:paraId="76D07DA1" w14:textId="77777777" w:rsidR="005954AC" w:rsidRDefault="005954AC" w:rsidP="005C147D">
            <w:r>
              <w:rPr>
                <w:color w:val="auto"/>
              </w:rPr>
              <w:t>(</w:t>
            </w:r>
            <w:bookmarkStart w:id="0" w:name="_Hlk103331722"/>
            <w:r>
              <w:rPr>
                <w:color w:val="auto"/>
              </w:rPr>
              <w:t>в границах №22:39:021801:</w:t>
            </w:r>
            <w:proofErr w:type="gramStart"/>
            <w:r>
              <w:rPr>
                <w:color w:val="auto"/>
              </w:rPr>
              <w:t>1159;  №</w:t>
            </w:r>
            <w:proofErr w:type="gramEnd"/>
            <w:r>
              <w:rPr>
                <w:color w:val="auto"/>
              </w:rPr>
              <w:t>22:39:021801:1158</w:t>
            </w:r>
            <w:bookmarkEnd w:id="0"/>
            <w:r w:rsidRPr="00FE0282">
              <w:rPr>
                <w:color w:val="auto"/>
              </w:rPr>
              <w:t>)</w:t>
            </w:r>
          </w:p>
        </w:tc>
      </w:tr>
      <w:tr w:rsidR="005954AC" w14:paraId="08B2234C" w14:textId="77777777" w:rsidTr="005C147D">
        <w:tc>
          <w:tcPr>
            <w:tcW w:w="526" w:type="dxa"/>
          </w:tcPr>
          <w:p w14:paraId="7228AB03" w14:textId="77777777" w:rsidR="005954AC" w:rsidRDefault="005954AC" w:rsidP="005C147D">
            <w:pPr>
              <w:jc w:val="center"/>
            </w:pPr>
            <w:r>
              <w:t>4.</w:t>
            </w:r>
          </w:p>
        </w:tc>
        <w:tc>
          <w:tcPr>
            <w:tcW w:w="2076" w:type="dxa"/>
          </w:tcPr>
          <w:p w14:paraId="1D358987" w14:textId="77777777" w:rsidR="005954AC" w:rsidRDefault="005954AC" w:rsidP="005C147D">
            <w:pPr>
              <w:jc w:val="center"/>
            </w:pPr>
            <w:r>
              <w:t>Вид строительства</w:t>
            </w:r>
          </w:p>
        </w:tc>
        <w:tc>
          <w:tcPr>
            <w:tcW w:w="6740" w:type="dxa"/>
          </w:tcPr>
          <w:p w14:paraId="29E9C833" w14:textId="77777777" w:rsidR="005954AC" w:rsidRDefault="005954AC" w:rsidP="005C147D">
            <w:r>
              <w:t>Новое строительство</w:t>
            </w:r>
          </w:p>
        </w:tc>
      </w:tr>
      <w:tr w:rsidR="005954AC" w14:paraId="2232F563" w14:textId="77777777" w:rsidTr="005C147D">
        <w:tc>
          <w:tcPr>
            <w:tcW w:w="526" w:type="dxa"/>
          </w:tcPr>
          <w:p w14:paraId="3500DB20" w14:textId="77777777" w:rsidR="005954AC" w:rsidRDefault="005954AC" w:rsidP="005C147D">
            <w:pPr>
              <w:jc w:val="center"/>
            </w:pPr>
            <w:r>
              <w:t>5.</w:t>
            </w:r>
          </w:p>
        </w:tc>
        <w:tc>
          <w:tcPr>
            <w:tcW w:w="2076" w:type="dxa"/>
          </w:tcPr>
          <w:p w14:paraId="7CE31D28" w14:textId="77777777" w:rsidR="005954AC" w:rsidRDefault="005954AC" w:rsidP="005C147D">
            <w:pPr>
              <w:jc w:val="center"/>
            </w:pPr>
            <w:r>
              <w:t>Источник финансирования</w:t>
            </w:r>
          </w:p>
        </w:tc>
        <w:tc>
          <w:tcPr>
            <w:tcW w:w="6740" w:type="dxa"/>
          </w:tcPr>
          <w:p w14:paraId="2FE29320" w14:textId="77777777" w:rsidR="005954AC" w:rsidRDefault="005954AC" w:rsidP="005C147D">
            <w:r>
              <w:t>Собственные средства</w:t>
            </w:r>
          </w:p>
        </w:tc>
      </w:tr>
      <w:tr w:rsidR="005954AC" w14:paraId="0EE23F34" w14:textId="77777777" w:rsidTr="005C147D">
        <w:tc>
          <w:tcPr>
            <w:tcW w:w="526" w:type="dxa"/>
          </w:tcPr>
          <w:p w14:paraId="17FCAABD" w14:textId="77777777" w:rsidR="005954AC" w:rsidRDefault="005954AC" w:rsidP="005C147D">
            <w:pPr>
              <w:jc w:val="center"/>
            </w:pPr>
            <w:r>
              <w:lastRenderedPageBreak/>
              <w:t>6.</w:t>
            </w:r>
          </w:p>
        </w:tc>
        <w:tc>
          <w:tcPr>
            <w:tcW w:w="2076" w:type="dxa"/>
          </w:tcPr>
          <w:p w14:paraId="532ECAFB" w14:textId="77777777" w:rsidR="005954AC" w:rsidRDefault="005954AC" w:rsidP="005C147D">
            <w:pPr>
              <w:jc w:val="center"/>
            </w:pPr>
            <w:r>
              <w:t>Стадия проектирования</w:t>
            </w:r>
          </w:p>
        </w:tc>
        <w:tc>
          <w:tcPr>
            <w:tcW w:w="6740" w:type="dxa"/>
          </w:tcPr>
          <w:p w14:paraId="452DF379" w14:textId="77777777" w:rsidR="005954AC" w:rsidRDefault="005954AC" w:rsidP="005C147D">
            <w:r>
              <w:t>Разработка проектно-сметной документации стадии «П» (одностадийное проектирование), в составе и объеме, необходимом для производства строительно-монтажных работ.</w:t>
            </w:r>
          </w:p>
        </w:tc>
      </w:tr>
      <w:tr w:rsidR="005954AC" w14:paraId="71448988" w14:textId="77777777" w:rsidTr="005C147D">
        <w:tc>
          <w:tcPr>
            <w:tcW w:w="526" w:type="dxa"/>
          </w:tcPr>
          <w:p w14:paraId="189F63FE" w14:textId="77777777" w:rsidR="005954AC" w:rsidRDefault="005954AC" w:rsidP="005C147D">
            <w:pPr>
              <w:jc w:val="center"/>
            </w:pPr>
            <w:r>
              <w:t>7.</w:t>
            </w:r>
          </w:p>
        </w:tc>
        <w:tc>
          <w:tcPr>
            <w:tcW w:w="2076" w:type="dxa"/>
          </w:tcPr>
          <w:p w14:paraId="35CBC04B" w14:textId="77777777" w:rsidR="005954AC" w:rsidRDefault="005954AC" w:rsidP="005C147D">
            <w:pPr>
              <w:jc w:val="center"/>
            </w:pPr>
            <w:r>
              <w:t>Технические условия, исходная и разрешительная документация</w:t>
            </w:r>
          </w:p>
        </w:tc>
        <w:tc>
          <w:tcPr>
            <w:tcW w:w="6740" w:type="dxa"/>
          </w:tcPr>
          <w:p w14:paraId="649CDFDA" w14:textId="77777777" w:rsidR="005954AC" w:rsidRDefault="005954AC" w:rsidP="005C147D">
            <w:r>
              <w:t>Необходимые исходные данные предоставляются Заказчиком в объеме, указанном в пункте 2. Данного технического задания. Технические условия на пересечение существующих сетей инфраструктуры Заказчик получает с участием Проектировщика (Проектировщик предоставляет схемы пересечения).</w:t>
            </w:r>
            <w:r>
              <w:rPr>
                <w:color w:val="FF0000"/>
                <w:szCs w:val="24"/>
              </w:rPr>
              <w:t xml:space="preserve"> Технические </w:t>
            </w:r>
            <w:proofErr w:type="gramStart"/>
            <w:r>
              <w:rPr>
                <w:color w:val="FF0000"/>
                <w:szCs w:val="24"/>
              </w:rPr>
              <w:t>условия</w:t>
            </w:r>
            <w:r w:rsidRPr="001E2597">
              <w:rPr>
                <w:color w:val="FF0000"/>
                <w:szCs w:val="24"/>
              </w:rPr>
              <w:t xml:space="preserve">  </w:t>
            </w:r>
            <w:r w:rsidRPr="00804CCC">
              <w:rPr>
                <w:color w:val="FF0000"/>
                <w:szCs w:val="24"/>
              </w:rPr>
              <w:t>с</w:t>
            </w:r>
            <w:proofErr w:type="gramEnd"/>
            <w:r w:rsidRPr="00804CCC">
              <w:rPr>
                <w:color w:val="FF0000"/>
                <w:szCs w:val="24"/>
              </w:rPr>
              <w:t xml:space="preserve"> точкой присоединения в координатах 51°19’26 42”C и 81°3’53 09”B с учетом погрешности на техническую возможность физического присоединения, в границах 200 метров  из Рубцовского  магистрального канала </w:t>
            </w:r>
            <w:r>
              <w:rPr>
                <w:color w:val="FF0000"/>
                <w:szCs w:val="24"/>
              </w:rPr>
              <w:t xml:space="preserve"> получает Исполнитель в </w:t>
            </w:r>
            <w:r w:rsidRPr="001E2597">
              <w:rPr>
                <w:color w:val="FF0000"/>
                <w:szCs w:val="24"/>
              </w:rPr>
              <w:t>ФГБУ «Управление» «</w:t>
            </w:r>
            <w:proofErr w:type="spellStart"/>
            <w:r w:rsidRPr="001E2597">
              <w:rPr>
                <w:color w:val="FF0000"/>
                <w:szCs w:val="24"/>
              </w:rPr>
              <w:t>Алтаймелиоводхоз</w:t>
            </w:r>
            <w:proofErr w:type="spellEnd"/>
            <w:r>
              <w:rPr>
                <w:color w:val="FF0000"/>
                <w:szCs w:val="24"/>
              </w:rPr>
              <w:t>».</w:t>
            </w:r>
          </w:p>
        </w:tc>
      </w:tr>
      <w:tr w:rsidR="005954AC" w14:paraId="6AC38413" w14:textId="77777777" w:rsidTr="005C147D">
        <w:tc>
          <w:tcPr>
            <w:tcW w:w="526" w:type="dxa"/>
          </w:tcPr>
          <w:p w14:paraId="6D5D105A" w14:textId="77777777" w:rsidR="005954AC" w:rsidRDefault="005954AC" w:rsidP="005C147D">
            <w:pPr>
              <w:jc w:val="center"/>
            </w:pPr>
            <w:r>
              <w:t>8.</w:t>
            </w:r>
          </w:p>
        </w:tc>
        <w:tc>
          <w:tcPr>
            <w:tcW w:w="2076" w:type="dxa"/>
          </w:tcPr>
          <w:p w14:paraId="264946E8" w14:textId="77777777" w:rsidR="005954AC" w:rsidRDefault="005954AC" w:rsidP="005C147D">
            <w:pPr>
              <w:jc w:val="center"/>
            </w:pPr>
            <w:r>
              <w:t>Требования по вариантной разработке</w:t>
            </w:r>
          </w:p>
        </w:tc>
        <w:tc>
          <w:tcPr>
            <w:tcW w:w="6740" w:type="dxa"/>
          </w:tcPr>
          <w:p w14:paraId="6431EFA5" w14:textId="77777777" w:rsidR="005954AC" w:rsidRDefault="005954AC" w:rsidP="005C147D">
            <w:r>
              <w:t>Нет.</w:t>
            </w:r>
          </w:p>
        </w:tc>
      </w:tr>
      <w:tr w:rsidR="005954AC" w14:paraId="0D4A7810" w14:textId="77777777" w:rsidTr="005C147D">
        <w:tc>
          <w:tcPr>
            <w:tcW w:w="526" w:type="dxa"/>
          </w:tcPr>
          <w:p w14:paraId="69AEC5C2" w14:textId="77777777" w:rsidR="005954AC" w:rsidRDefault="005954AC" w:rsidP="005C147D">
            <w:pPr>
              <w:jc w:val="center"/>
            </w:pPr>
            <w:r>
              <w:t>9.</w:t>
            </w:r>
          </w:p>
        </w:tc>
        <w:tc>
          <w:tcPr>
            <w:tcW w:w="2076" w:type="dxa"/>
          </w:tcPr>
          <w:p w14:paraId="70E5A327" w14:textId="77777777" w:rsidR="005954AC" w:rsidRDefault="005954AC" w:rsidP="005C147D">
            <w:pPr>
              <w:jc w:val="center"/>
            </w:pPr>
            <w:r>
              <w:t>Порядок разработки документации</w:t>
            </w:r>
          </w:p>
        </w:tc>
        <w:tc>
          <w:tcPr>
            <w:tcW w:w="6740" w:type="dxa"/>
          </w:tcPr>
          <w:p w14:paraId="34B0FCCA" w14:textId="77777777" w:rsidR="005954AC" w:rsidRDefault="005954AC" w:rsidP="005C147D">
            <w:r>
              <w:t>Проектную документацию разработать в соответствии с законодательством РФ, действующими нормативными документами РФ.</w:t>
            </w:r>
          </w:p>
          <w:p w14:paraId="04DEA156" w14:textId="77777777" w:rsidR="005954AC" w:rsidRDefault="005954AC" w:rsidP="005C147D">
            <w:r>
              <w:t>Состав и содержание разделов проектной документации сформировать в соответствии с «Положением о составе разделов проектной документации и требований к их содержанию» утвержденным Постановлением Правительства РФ от 16.02.2008 года №87.</w:t>
            </w:r>
          </w:p>
          <w:p w14:paraId="6BE00C73" w14:textId="77777777" w:rsidR="005954AC" w:rsidRPr="009A6F4F" w:rsidRDefault="005954AC" w:rsidP="005C147D">
            <w:bookmarkStart w:id="1" w:name="_Hlk103669718"/>
            <w:r>
              <w:t xml:space="preserve">Сопровождение прохождения экспертизы проектной документации в негосударственной экспертизе и сопровождение прохождения в государственной экспертизе инженерных изысканий и достоверности сметной стоимости </w:t>
            </w:r>
            <w:bookmarkEnd w:id="1"/>
            <w:r>
              <w:t xml:space="preserve">(в соответствии с </w:t>
            </w:r>
            <w:r w:rsidRPr="007367C8">
              <w:t>Приказ</w:t>
            </w:r>
            <w:r>
              <w:t xml:space="preserve">ом </w:t>
            </w:r>
            <w:r w:rsidRPr="007367C8">
              <w:t>Министерства</w:t>
            </w:r>
            <w:r>
              <w:t xml:space="preserve"> </w:t>
            </w:r>
            <w:r w:rsidRPr="007367C8">
              <w:t>сельского</w:t>
            </w:r>
            <w:r>
              <w:t xml:space="preserve"> </w:t>
            </w:r>
            <w:r w:rsidRPr="007367C8">
              <w:t>хозяйства</w:t>
            </w:r>
            <w:r>
              <w:t xml:space="preserve"> </w:t>
            </w:r>
            <w:r w:rsidRPr="007367C8">
              <w:t>Российской Федерации</w:t>
            </w:r>
            <w:r>
              <w:t xml:space="preserve"> </w:t>
            </w:r>
            <w:r w:rsidRPr="007367C8">
              <w:t>от</w:t>
            </w:r>
            <w:r>
              <w:t xml:space="preserve"> </w:t>
            </w:r>
            <w:r w:rsidRPr="007367C8">
              <w:t>16.08.2021</w:t>
            </w:r>
            <w:r>
              <w:t xml:space="preserve"> </w:t>
            </w:r>
            <w:r w:rsidRPr="007367C8">
              <w:t>№569</w:t>
            </w:r>
            <w:r>
              <w:t xml:space="preserve"> «</w:t>
            </w:r>
            <w:r w:rsidRPr="007367C8">
              <w:t>Об утверждении Порядка отбора проектов мелиорации, а также требований к составу заявочной документации, представляемой для отбора проектов мелиорации</w:t>
            </w:r>
            <w:r>
              <w:t xml:space="preserve">». </w:t>
            </w:r>
            <w:proofErr w:type="gramStart"/>
            <w:r w:rsidRPr="00DB1F80">
              <w:rPr>
                <w:color w:val="auto"/>
              </w:rPr>
              <w:t>Исполнитель  также</w:t>
            </w:r>
            <w:proofErr w:type="gramEnd"/>
            <w:r w:rsidRPr="00DB1F80">
              <w:rPr>
                <w:color w:val="auto"/>
              </w:rPr>
              <w:t xml:space="preserve"> согласовывает  проектно-сметную документацию в  ФГБУ «Управление «</w:t>
            </w:r>
            <w:proofErr w:type="spellStart"/>
            <w:r w:rsidRPr="00DB1F80">
              <w:rPr>
                <w:color w:val="auto"/>
              </w:rPr>
              <w:t>Алтаймелиоводхоз</w:t>
            </w:r>
            <w:proofErr w:type="spellEnd"/>
            <w:r w:rsidRPr="00DB1F80">
              <w:rPr>
                <w:color w:val="auto"/>
              </w:rPr>
              <w:t xml:space="preserve">». </w:t>
            </w:r>
          </w:p>
        </w:tc>
      </w:tr>
      <w:tr w:rsidR="005954AC" w14:paraId="6DBC72A7" w14:textId="77777777" w:rsidTr="005C147D">
        <w:tc>
          <w:tcPr>
            <w:tcW w:w="526" w:type="dxa"/>
          </w:tcPr>
          <w:p w14:paraId="7CECC105" w14:textId="77777777" w:rsidR="005954AC" w:rsidRDefault="005954AC" w:rsidP="005C147D">
            <w:pPr>
              <w:jc w:val="center"/>
            </w:pPr>
            <w:r>
              <w:t>10.</w:t>
            </w:r>
          </w:p>
        </w:tc>
        <w:tc>
          <w:tcPr>
            <w:tcW w:w="2076" w:type="dxa"/>
          </w:tcPr>
          <w:p w14:paraId="21B5DA66" w14:textId="77777777" w:rsidR="005954AC" w:rsidRDefault="005954AC" w:rsidP="005C147D">
            <w:pPr>
              <w:jc w:val="center"/>
            </w:pPr>
            <w:r>
              <w:t xml:space="preserve">Основные технико-экономические характеристики и показатели объекта, в т.ч. мощность-площадь мелиорации (отдельно по </w:t>
            </w:r>
            <w:r>
              <w:lastRenderedPageBreak/>
              <w:t>типам и подтипам почв)</w:t>
            </w:r>
          </w:p>
        </w:tc>
        <w:tc>
          <w:tcPr>
            <w:tcW w:w="6740" w:type="dxa"/>
          </w:tcPr>
          <w:p w14:paraId="58883F03" w14:textId="77777777" w:rsidR="005954AC" w:rsidRDefault="005954AC" w:rsidP="005C147D">
            <w:r>
              <w:lastRenderedPageBreak/>
              <w:t>Способ орошения – дождевание.</w:t>
            </w:r>
          </w:p>
          <w:p w14:paraId="7DE64C9F" w14:textId="77777777" w:rsidR="005954AC" w:rsidRDefault="005954AC" w:rsidP="005C147D">
            <w:r>
              <w:t>Поливная техника – дождевальные машины кругового типа (на электрическом приводе)</w:t>
            </w:r>
          </w:p>
          <w:p w14:paraId="07167D9B" w14:textId="77777777" w:rsidR="005954AC" w:rsidRDefault="005954AC" w:rsidP="005C147D"/>
          <w:p w14:paraId="04DD50F2" w14:textId="77777777" w:rsidR="005954AC" w:rsidRDefault="005954AC" w:rsidP="005C147D">
            <w:r>
              <w:t>Водоисточник – Рубцовский канал.</w:t>
            </w:r>
          </w:p>
          <w:p w14:paraId="3976F8C8" w14:textId="77777777" w:rsidR="005954AC" w:rsidRDefault="005954AC" w:rsidP="005C147D"/>
          <w:p w14:paraId="2432D238" w14:textId="77777777" w:rsidR="005954AC" w:rsidRDefault="005954AC" w:rsidP="005C147D">
            <w:r>
              <w:t>Насосное оборудование – Стационарная электрическая насосная станция модульного типа</w:t>
            </w:r>
          </w:p>
          <w:p w14:paraId="4CB785B6" w14:textId="77777777" w:rsidR="005954AC" w:rsidRDefault="005954AC" w:rsidP="005C147D"/>
          <w:p w14:paraId="37916904" w14:textId="77777777" w:rsidR="005954AC" w:rsidRDefault="005954AC" w:rsidP="005C147D">
            <w:r>
              <w:t>Магистральные трубопроводы – подземные.</w:t>
            </w:r>
          </w:p>
          <w:p w14:paraId="60768662" w14:textId="77777777" w:rsidR="005954AC" w:rsidRDefault="005954AC" w:rsidP="005C147D">
            <w:r>
              <w:lastRenderedPageBreak/>
              <w:t>Диаметр, протяженность и толщина стенок труб определяется гидравлическим расчетом в ходе проектирования.</w:t>
            </w:r>
          </w:p>
          <w:p w14:paraId="3E0E45D4" w14:textId="77777777" w:rsidR="005954AC" w:rsidRDefault="005954AC" w:rsidP="005C147D">
            <w:r>
              <w:t xml:space="preserve">Поля предусмотрены для выращивания следующих сельскохозяйственных культур: </w:t>
            </w:r>
            <w:r w:rsidRPr="007B15DD">
              <w:t>картофель, зерновые, многолетние травы</w:t>
            </w:r>
            <w:r>
              <w:t>.</w:t>
            </w:r>
          </w:p>
          <w:p w14:paraId="4499A2E4" w14:textId="77777777" w:rsidR="005954AC" w:rsidRDefault="005954AC" w:rsidP="005C147D">
            <w:r>
              <w:t xml:space="preserve">Производительность насосного оборудования и трубопроводов каждой магистрали должна обеспечивать </w:t>
            </w:r>
            <w:r w:rsidRPr="007B15DD">
              <w:t>50%</w:t>
            </w:r>
            <w:r>
              <w:t xml:space="preserve"> работы поливальных машин (одновременную работу).</w:t>
            </w:r>
          </w:p>
          <w:p w14:paraId="550AEC9A" w14:textId="77777777" w:rsidR="005954AC" w:rsidRDefault="005954AC" w:rsidP="005C147D">
            <w:r>
              <w:t>Предусмотреть проектом подачу азотных жидкостных удобрений через дождевальные машины. Выполнить расчет объема и установку емкостей и дозирующих насосов с технологической обвязкой для удобрений рядом с дождевальными машинами.</w:t>
            </w:r>
          </w:p>
          <w:p w14:paraId="1F23BFBE" w14:textId="77777777" w:rsidR="005954AC" w:rsidRDefault="005954AC" w:rsidP="005C147D">
            <w:r>
              <w:t>Объем емкостей по каждой дождевальной машине должен быть не менее объема однократного внесения удобрений</w:t>
            </w:r>
          </w:p>
          <w:p w14:paraId="397F8FCD" w14:textId="77777777" w:rsidR="005954AC" w:rsidRPr="00433ABD" w:rsidRDefault="005954AC" w:rsidP="005C147D"/>
        </w:tc>
      </w:tr>
      <w:tr w:rsidR="005954AC" w14:paraId="5948A654" w14:textId="77777777" w:rsidTr="005C147D">
        <w:tc>
          <w:tcPr>
            <w:tcW w:w="526" w:type="dxa"/>
          </w:tcPr>
          <w:p w14:paraId="71875FEF" w14:textId="77777777" w:rsidR="005954AC" w:rsidRDefault="005954AC" w:rsidP="005C147D">
            <w:pPr>
              <w:jc w:val="center"/>
            </w:pPr>
            <w:r>
              <w:lastRenderedPageBreak/>
              <w:t>11.</w:t>
            </w:r>
          </w:p>
        </w:tc>
        <w:tc>
          <w:tcPr>
            <w:tcW w:w="2076" w:type="dxa"/>
          </w:tcPr>
          <w:p w14:paraId="717849FC" w14:textId="77777777" w:rsidR="005954AC" w:rsidRDefault="005954AC" w:rsidP="005C147D">
            <w:pPr>
              <w:jc w:val="center"/>
            </w:pPr>
            <w:r>
              <w:t>Особые требования к проектированию</w:t>
            </w:r>
          </w:p>
        </w:tc>
        <w:tc>
          <w:tcPr>
            <w:tcW w:w="6740" w:type="dxa"/>
          </w:tcPr>
          <w:p w14:paraId="2EBB339F" w14:textId="77777777" w:rsidR="005954AC" w:rsidRDefault="005954AC" w:rsidP="005C147D">
            <w:r>
              <w:t>АСУ ТП: выполнить полную автоматизацию системы орошения с дистанционным управлением, передачу данных предусмотреть по радиосигналу.</w:t>
            </w:r>
          </w:p>
          <w:p w14:paraId="5EB823F7" w14:textId="77777777" w:rsidR="005954AC" w:rsidRDefault="005954AC" w:rsidP="005C147D">
            <w:r>
              <w:t>Автоматический дистанционный запуск насосных станций, дозирующих насосов внесения удобрений, применение задвижек с электроприводом, дистанционный запуск дождевальных машин, диспетчеризация.</w:t>
            </w:r>
          </w:p>
        </w:tc>
      </w:tr>
      <w:tr w:rsidR="005954AC" w14:paraId="703B2ABA" w14:textId="77777777" w:rsidTr="005C147D">
        <w:tc>
          <w:tcPr>
            <w:tcW w:w="526" w:type="dxa"/>
          </w:tcPr>
          <w:p w14:paraId="5321B80F" w14:textId="77777777" w:rsidR="005954AC" w:rsidRDefault="005954AC" w:rsidP="005C147D">
            <w:pPr>
              <w:jc w:val="center"/>
            </w:pPr>
            <w:r>
              <w:t>12.</w:t>
            </w:r>
          </w:p>
        </w:tc>
        <w:tc>
          <w:tcPr>
            <w:tcW w:w="2076" w:type="dxa"/>
          </w:tcPr>
          <w:p w14:paraId="4F9F0598" w14:textId="77777777" w:rsidR="005954AC" w:rsidRDefault="005954AC" w:rsidP="005C147D">
            <w:pPr>
              <w:jc w:val="center"/>
            </w:pPr>
            <w:r>
              <w:t>Состав проектной и сметной документации</w:t>
            </w:r>
          </w:p>
        </w:tc>
        <w:tc>
          <w:tcPr>
            <w:tcW w:w="6740" w:type="dxa"/>
          </w:tcPr>
          <w:p w14:paraId="22A67282" w14:textId="77777777" w:rsidR="005954AC" w:rsidRDefault="005954AC" w:rsidP="005C147D">
            <w:r>
              <w:t>Раздел 1. «Пояснительная записка»</w:t>
            </w:r>
          </w:p>
          <w:p w14:paraId="6683BA58" w14:textId="77777777" w:rsidR="005954AC" w:rsidRDefault="005954AC" w:rsidP="005C147D">
            <w:r>
              <w:t>Раздел 2. «СПОЗУ»</w:t>
            </w:r>
          </w:p>
          <w:p w14:paraId="6690A8FE" w14:textId="77777777" w:rsidR="005954AC" w:rsidRDefault="005954AC" w:rsidP="005C147D">
            <w:r>
              <w:t>Раздел 3. «Технологические решения и автоматизация технологических решений»</w:t>
            </w:r>
          </w:p>
          <w:p w14:paraId="56B00F1C" w14:textId="77777777" w:rsidR="005954AC" w:rsidRDefault="005954AC" w:rsidP="005C147D">
            <w:r>
              <w:t>Подраздел 3.1. «Технологические решения»</w:t>
            </w:r>
          </w:p>
          <w:p w14:paraId="3B408229" w14:textId="77777777" w:rsidR="005954AC" w:rsidRDefault="005954AC" w:rsidP="005C147D">
            <w:r>
              <w:t>Подраздел 3.2. «Автоматизация технологических решений»</w:t>
            </w:r>
          </w:p>
          <w:p w14:paraId="34CE2255" w14:textId="77777777" w:rsidR="005954AC" w:rsidRDefault="005954AC" w:rsidP="005C147D">
            <w:r>
              <w:t>Раздел 4. «Здания, строения и сооружения, входящие в инфраструктуру объекта»</w:t>
            </w:r>
          </w:p>
          <w:p w14:paraId="6307DCA3" w14:textId="77777777" w:rsidR="005954AC" w:rsidRDefault="005954AC" w:rsidP="005C147D">
            <w:r>
              <w:t>Подраздел 4.1. «Здания, строения и сооружения, входящие в инфраструктуру объекта. Архитектурные решения.»</w:t>
            </w:r>
          </w:p>
          <w:p w14:paraId="3FA8372D" w14:textId="77777777" w:rsidR="005954AC" w:rsidRDefault="005954AC" w:rsidP="005C147D">
            <w:r>
              <w:t>Подраздел 4.2. «Здания, строения и сооружения, входящие в инфраструктуру объекта. Конструктивные решения.»</w:t>
            </w:r>
          </w:p>
          <w:p w14:paraId="33598AA5" w14:textId="77777777" w:rsidR="005954AC" w:rsidRDefault="005954AC" w:rsidP="005C147D">
            <w:r>
              <w:t>Подраздел 4.3. «Здания, строения и сооружения, входящие в инфраструктуру объекта. Система электроснабжения.»</w:t>
            </w:r>
          </w:p>
          <w:p w14:paraId="0D28B8DB" w14:textId="77777777" w:rsidR="005954AC" w:rsidRDefault="005954AC" w:rsidP="005C147D">
            <w:r>
              <w:t>Подраздел 4.4. «Здания, строения и сооружения, входящие в инфраструктуру объекта. Сети связи.»</w:t>
            </w:r>
          </w:p>
          <w:p w14:paraId="6E486606" w14:textId="77777777" w:rsidR="005954AC" w:rsidRDefault="005954AC" w:rsidP="005C147D">
            <w:r>
              <w:t>Раздел 5. «Проект организации строительства»</w:t>
            </w:r>
          </w:p>
          <w:p w14:paraId="6A7EE46C" w14:textId="77777777" w:rsidR="005954AC" w:rsidRDefault="005954AC" w:rsidP="005C147D">
            <w:r>
              <w:t>Раздел 6. «Мероприятия по охране окружающей среды»</w:t>
            </w:r>
          </w:p>
          <w:p w14:paraId="210DE0F9" w14:textId="77777777" w:rsidR="005954AC" w:rsidRDefault="005954AC" w:rsidP="005C147D">
            <w:r>
              <w:t>Подраздел 6.1. «Дендрология»</w:t>
            </w:r>
          </w:p>
          <w:p w14:paraId="2C7C6CDA" w14:textId="77777777" w:rsidR="005954AC" w:rsidRDefault="005954AC" w:rsidP="005C147D">
            <w:r>
              <w:t>Раздел 7. «Мероприятия по обеспечению пожарной безопасности»</w:t>
            </w:r>
          </w:p>
          <w:p w14:paraId="3C68AA1B" w14:textId="77777777" w:rsidR="005954AC" w:rsidRDefault="005954AC" w:rsidP="005C147D">
            <w:r w:rsidRPr="00F545CB">
              <w:lastRenderedPageBreak/>
              <w:t>Раздел 8. Проект организации работ по сносу (демонтажу) объекта</w:t>
            </w:r>
          </w:p>
          <w:p w14:paraId="1652AF85" w14:textId="77777777" w:rsidR="005954AC" w:rsidRDefault="005954AC" w:rsidP="005C147D">
            <w:r>
              <w:t>Раздел 9. «Сметы на строительство»</w:t>
            </w:r>
          </w:p>
          <w:p w14:paraId="7D242F65" w14:textId="77777777" w:rsidR="005954AC" w:rsidRDefault="005954AC" w:rsidP="005C147D">
            <w:r w:rsidRPr="00DB1F80">
              <w:rPr>
                <w:color w:val="000000" w:themeColor="text1"/>
              </w:rPr>
              <w:t>Проект альбомы стадии «П», локальные сметы, объектные сметы, сводный сметный расчет, пояснительная записка к сметной документации. Сметная документация в базовых ценах и текущих.</w:t>
            </w:r>
          </w:p>
        </w:tc>
      </w:tr>
      <w:tr w:rsidR="005954AC" w14:paraId="53BC21F8" w14:textId="77777777" w:rsidTr="005C147D">
        <w:tc>
          <w:tcPr>
            <w:tcW w:w="526" w:type="dxa"/>
          </w:tcPr>
          <w:p w14:paraId="28E31749" w14:textId="77777777" w:rsidR="005954AC" w:rsidRDefault="005954AC" w:rsidP="005C147D">
            <w:pPr>
              <w:jc w:val="center"/>
            </w:pPr>
            <w:r>
              <w:lastRenderedPageBreak/>
              <w:t>13.</w:t>
            </w:r>
          </w:p>
        </w:tc>
        <w:tc>
          <w:tcPr>
            <w:tcW w:w="2076" w:type="dxa"/>
          </w:tcPr>
          <w:p w14:paraId="2B010CC9" w14:textId="77777777" w:rsidR="005954AC" w:rsidRDefault="005954AC" w:rsidP="005C147D">
            <w:pPr>
              <w:jc w:val="center"/>
            </w:pPr>
            <w:r>
              <w:t>Требования к сметной документации</w:t>
            </w:r>
          </w:p>
        </w:tc>
        <w:tc>
          <w:tcPr>
            <w:tcW w:w="6740" w:type="dxa"/>
          </w:tcPr>
          <w:p w14:paraId="62543683" w14:textId="77777777" w:rsidR="005954AC" w:rsidRDefault="005954AC" w:rsidP="005C147D">
            <w:r>
              <w:t xml:space="preserve">Базисно – индексным способом в ФЕР для Алтайского края на дату сдачи проектной документации (2022 г.). </w:t>
            </w:r>
            <w:r w:rsidRPr="00DB1F80">
              <w:rPr>
                <w:color w:val="auto"/>
              </w:rPr>
              <w:t>Сметная документация в базовых и текущих ценах.</w:t>
            </w:r>
          </w:p>
        </w:tc>
      </w:tr>
      <w:tr w:rsidR="005954AC" w14:paraId="67C07D11" w14:textId="77777777" w:rsidTr="005C147D">
        <w:tc>
          <w:tcPr>
            <w:tcW w:w="526" w:type="dxa"/>
          </w:tcPr>
          <w:p w14:paraId="737013E3" w14:textId="77777777" w:rsidR="005954AC" w:rsidRDefault="005954AC" w:rsidP="005C147D">
            <w:pPr>
              <w:jc w:val="center"/>
            </w:pPr>
            <w:r>
              <w:t>14.</w:t>
            </w:r>
          </w:p>
        </w:tc>
        <w:tc>
          <w:tcPr>
            <w:tcW w:w="2076" w:type="dxa"/>
          </w:tcPr>
          <w:p w14:paraId="2DB7E1C7" w14:textId="77777777" w:rsidR="005954AC" w:rsidRDefault="005954AC" w:rsidP="005C147D">
            <w:pPr>
              <w:jc w:val="center"/>
            </w:pPr>
            <w:r>
              <w:t>Требования к технологическим, конструктивным и инженерным решениям линейного объекта</w:t>
            </w:r>
          </w:p>
        </w:tc>
        <w:tc>
          <w:tcPr>
            <w:tcW w:w="6740" w:type="dxa"/>
          </w:tcPr>
          <w:p w14:paraId="025D61F1" w14:textId="77777777" w:rsidR="005954AC" w:rsidRDefault="005954AC" w:rsidP="005C147D">
            <w:r>
              <w:t>Технологические, конструктивные и инженерные решения должны соответствовать действующим нормативным требованиям по безопасной эксплуатации зданий и сооружений, охраны труда.</w:t>
            </w:r>
          </w:p>
          <w:p w14:paraId="53831B70" w14:textId="77777777" w:rsidR="005954AC" w:rsidRDefault="005954AC" w:rsidP="005C147D">
            <w:r>
              <w:t>Произвести расчет поливных норм, режимов орошения, объемов водопотребления. Разработать графики орошения. Подобрать поливное оборудование в соответствии с гидравлическим расчетом системы орошения. Разработать спецификацию оборудования.</w:t>
            </w:r>
          </w:p>
        </w:tc>
      </w:tr>
      <w:tr w:rsidR="005954AC" w14:paraId="4FC40BFD" w14:textId="77777777" w:rsidTr="005C147D">
        <w:tc>
          <w:tcPr>
            <w:tcW w:w="526" w:type="dxa"/>
          </w:tcPr>
          <w:p w14:paraId="5E8ADCCD" w14:textId="77777777" w:rsidR="005954AC" w:rsidRDefault="005954AC" w:rsidP="005C147D">
            <w:pPr>
              <w:jc w:val="center"/>
            </w:pPr>
            <w:r>
              <w:t>15.</w:t>
            </w:r>
          </w:p>
        </w:tc>
        <w:tc>
          <w:tcPr>
            <w:tcW w:w="2076" w:type="dxa"/>
          </w:tcPr>
          <w:p w14:paraId="10458655" w14:textId="77777777" w:rsidR="005954AC" w:rsidRDefault="005954AC" w:rsidP="005C147D">
            <w:pPr>
              <w:jc w:val="center"/>
            </w:pPr>
            <w:r>
              <w:t>Исполнитель</w:t>
            </w:r>
          </w:p>
        </w:tc>
        <w:tc>
          <w:tcPr>
            <w:tcW w:w="6740" w:type="dxa"/>
          </w:tcPr>
          <w:p w14:paraId="563F26E5" w14:textId="2153015B" w:rsidR="005954AC" w:rsidRDefault="005954AC" w:rsidP="00471061">
            <w:pPr>
              <w:ind w:left="0" w:firstLine="0"/>
            </w:pPr>
          </w:p>
        </w:tc>
      </w:tr>
      <w:tr w:rsidR="005954AC" w14:paraId="0A79AE97" w14:textId="77777777" w:rsidTr="005C147D">
        <w:tc>
          <w:tcPr>
            <w:tcW w:w="526" w:type="dxa"/>
          </w:tcPr>
          <w:p w14:paraId="2F0CB8DC" w14:textId="77777777" w:rsidR="005954AC" w:rsidRDefault="005954AC" w:rsidP="005C147D">
            <w:pPr>
              <w:jc w:val="center"/>
            </w:pPr>
            <w:r>
              <w:t>16.</w:t>
            </w:r>
          </w:p>
        </w:tc>
        <w:tc>
          <w:tcPr>
            <w:tcW w:w="2076" w:type="dxa"/>
          </w:tcPr>
          <w:p w14:paraId="161CA27F" w14:textId="77777777" w:rsidR="005954AC" w:rsidRDefault="005954AC" w:rsidP="005C147D">
            <w:pPr>
              <w:jc w:val="center"/>
            </w:pPr>
            <w:r>
              <w:t>Заказчик (инвестор)</w:t>
            </w:r>
          </w:p>
        </w:tc>
        <w:tc>
          <w:tcPr>
            <w:tcW w:w="6740" w:type="dxa"/>
          </w:tcPr>
          <w:p w14:paraId="63929C0E" w14:textId="77777777" w:rsidR="005954AC" w:rsidRDefault="005954AC" w:rsidP="005C147D">
            <w:r>
              <w:t>ООО «Совхоз Рубцовский»</w:t>
            </w:r>
          </w:p>
        </w:tc>
      </w:tr>
      <w:tr w:rsidR="005954AC" w14:paraId="1205FD0D" w14:textId="77777777" w:rsidTr="005C147D">
        <w:tc>
          <w:tcPr>
            <w:tcW w:w="526" w:type="dxa"/>
          </w:tcPr>
          <w:p w14:paraId="792B80BD" w14:textId="77777777" w:rsidR="005954AC" w:rsidRDefault="005954AC" w:rsidP="005C147D">
            <w:pPr>
              <w:jc w:val="center"/>
            </w:pPr>
            <w:r>
              <w:t>17.</w:t>
            </w:r>
          </w:p>
        </w:tc>
        <w:tc>
          <w:tcPr>
            <w:tcW w:w="2076" w:type="dxa"/>
          </w:tcPr>
          <w:p w14:paraId="14F6C11C" w14:textId="77777777" w:rsidR="005954AC" w:rsidRDefault="005954AC" w:rsidP="005C147D">
            <w:pPr>
              <w:jc w:val="center"/>
            </w:pPr>
            <w:r>
              <w:t>Порядок сдачи работы</w:t>
            </w:r>
          </w:p>
        </w:tc>
        <w:tc>
          <w:tcPr>
            <w:tcW w:w="6740" w:type="dxa"/>
          </w:tcPr>
          <w:p w14:paraId="595AF8C2" w14:textId="77777777" w:rsidR="005954AC" w:rsidRPr="00D9124D" w:rsidRDefault="005954AC" w:rsidP="005C147D">
            <w:r w:rsidRPr="0018231D">
              <w:rPr>
                <w:color w:val="auto"/>
              </w:rPr>
              <w:t xml:space="preserve">Исполнитель предоставляет Заказчику материалы проектов в двух экземплярах на бумажном носителе и в одном на электронном, в формате </w:t>
            </w:r>
            <w:r w:rsidRPr="0018231D">
              <w:rPr>
                <w:color w:val="auto"/>
                <w:lang w:val="en-US"/>
              </w:rPr>
              <w:t>PDF</w:t>
            </w:r>
            <w:r w:rsidRPr="0018231D">
              <w:rPr>
                <w:color w:val="auto"/>
              </w:rPr>
              <w:t xml:space="preserve"> и </w:t>
            </w:r>
            <w:r w:rsidRPr="0018231D">
              <w:rPr>
                <w:color w:val="auto"/>
                <w:lang w:val="en-US"/>
              </w:rPr>
              <w:t>DWG</w:t>
            </w:r>
            <w:r w:rsidRPr="0018231D">
              <w:rPr>
                <w:color w:val="auto"/>
              </w:rPr>
              <w:t>, в порядке, предусмотренном разделом 3 договора.</w:t>
            </w:r>
          </w:p>
        </w:tc>
      </w:tr>
    </w:tbl>
    <w:p w14:paraId="3F0F7439" w14:textId="77777777" w:rsidR="00E91471" w:rsidRDefault="00E91471"/>
    <w:sectPr w:rsidR="00E91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E155F"/>
    <w:multiLevelType w:val="hybridMultilevel"/>
    <w:tmpl w:val="308A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757A54"/>
    <w:multiLevelType w:val="hybridMultilevel"/>
    <w:tmpl w:val="D9D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F11F60"/>
    <w:multiLevelType w:val="hybridMultilevel"/>
    <w:tmpl w:val="CDF8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C74931"/>
    <w:multiLevelType w:val="hybridMultilevel"/>
    <w:tmpl w:val="6240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974205">
    <w:abstractNumId w:val="0"/>
  </w:num>
  <w:num w:numId="2" w16cid:durableId="2122451624">
    <w:abstractNumId w:val="1"/>
  </w:num>
  <w:num w:numId="3" w16cid:durableId="157968235">
    <w:abstractNumId w:val="2"/>
  </w:num>
  <w:num w:numId="4" w16cid:durableId="1373992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71"/>
    <w:rsid w:val="00471061"/>
    <w:rsid w:val="005954AC"/>
    <w:rsid w:val="00E9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02EE"/>
  <w15:chartTrackingRefBased/>
  <w15:docId w15:val="{66EDADA9-9446-4419-A3D0-B99C2BD3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4AC"/>
    <w:pPr>
      <w:spacing w:after="12" w:line="270" w:lineRule="auto"/>
      <w:ind w:left="2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Normal,RSHB_Table-Normal,Заголовок_3,Подпись рисунка,Общий_К,List Paragraph,Нумерованый список,ПАРАГРАФ,List Paragraph1,Нумерованный спиков,Название таблицы,Списки,3_Абзац списка,Абзац маркированнный,UL,1. Абзац списка,Предусловия"/>
    <w:basedOn w:val="a"/>
    <w:link w:val="a5"/>
    <w:uiPriority w:val="34"/>
    <w:qFormat/>
    <w:rsid w:val="005954AC"/>
    <w:pPr>
      <w:spacing w:after="0" w:line="240" w:lineRule="auto"/>
      <w:ind w:left="720" w:firstLine="0"/>
      <w:contextualSpacing/>
      <w:jc w:val="left"/>
    </w:pPr>
    <w:rPr>
      <w:color w:val="auto"/>
      <w:szCs w:val="24"/>
    </w:rPr>
  </w:style>
  <w:style w:type="character" w:customStyle="1" w:styleId="a5">
    <w:name w:val="Абзац списка Знак"/>
    <w:aliases w:val="Table-Normal Знак,RSHB_Table-Normal Знак,Заголовок_3 Знак,Подпись рисунка Знак,Общий_К Знак,List Paragraph Знак,Нумерованый список Знак,ПАРАГРАФ Знак,List Paragraph1 Знак,Нумерованный спиков Знак,Название таблицы Знак,Списки Знак"/>
    <w:link w:val="a4"/>
    <w:uiPriority w:val="34"/>
    <w:locked/>
    <w:rsid w:val="005954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Данильченко</dc:creator>
  <cp:keywords/>
  <dc:description/>
  <cp:lastModifiedBy>Microsoft Office User</cp:lastModifiedBy>
  <cp:revision>3</cp:revision>
  <dcterms:created xsi:type="dcterms:W3CDTF">2022-05-25T14:20:00Z</dcterms:created>
  <dcterms:modified xsi:type="dcterms:W3CDTF">2022-05-26T11:44:00Z</dcterms:modified>
</cp:coreProperties>
</file>