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5" w:rsidRDefault="004C0255" w:rsidP="004C0255">
      <w:pPr>
        <w:snapToGri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53975</wp:posOffset>
                </wp:positionV>
                <wp:extent cx="2668270" cy="9975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255" w:rsidRDefault="004C0255" w:rsidP="004C0255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Согласовано</w:t>
                            </w:r>
                          </w:p>
                          <w:p w:rsidR="004C0255" w:rsidRDefault="004C0255" w:rsidP="004C0255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ГИП ООО «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>Роксбер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Проект»</w:t>
                            </w:r>
                          </w:p>
                          <w:p w:rsidR="004C0255" w:rsidRDefault="004C0255" w:rsidP="004C0255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C0255" w:rsidRDefault="004C0255" w:rsidP="004C0255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4C0255" w:rsidRDefault="004C0255" w:rsidP="004C0255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.,  подпись)</w:t>
                            </w:r>
                          </w:p>
                          <w:p w:rsidR="004C0255" w:rsidRDefault="004C0255" w:rsidP="004C0255">
                            <w:pPr>
                              <w:pStyle w:val="ConsPlusNonformat"/>
                              <w:spacing w:line="100" w:lineRule="atLeast"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МП «___» __________ 202__г.</w:t>
                            </w:r>
                          </w:p>
                          <w:p w:rsidR="004C0255" w:rsidRDefault="004C0255" w:rsidP="004C02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7pt;margin-top:4.25pt;width:210.1pt;height:78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" stroked="f">
                <v:textbox inset="0,0,0,0">
                  <w:txbxContent>
                    <w:p w:rsidR="004C0255" w:rsidRDefault="004C0255" w:rsidP="004C0255">
                      <w:pPr>
                        <w:snapToGrid w:val="0"/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Согласовано</w:t>
                      </w:r>
                    </w:p>
                    <w:p w:rsidR="004C0255" w:rsidRDefault="004C0255" w:rsidP="004C0255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 xml:space="preserve"> ГИП ООО «</w:t>
                      </w:r>
                      <w:proofErr w:type="spellStart"/>
                      <w:r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>Роксбер</w:t>
                      </w:r>
                      <w:proofErr w:type="spellEnd"/>
                      <w:r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 xml:space="preserve"> Проект»</w:t>
                      </w:r>
                    </w:p>
                    <w:p w:rsidR="004C0255" w:rsidRDefault="004C0255" w:rsidP="004C0255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4C0255" w:rsidRDefault="004C0255" w:rsidP="004C0255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4C0255" w:rsidRDefault="004C0255" w:rsidP="004C0255">
                      <w:pPr>
                        <w:pStyle w:val="ConsPlusNonformat"/>
                        <w:widowControl/>
                        <w:jc w:val="center"/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и.о</w:t>
                      </w:r>
                      <w:proofErr w:type="spell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.,  подпись)</w:t>
                      </w:r>
                    </w:p>
                    <w:p w:rsidR="004C0255" w:rsidRDefault="004C0255" w:rsidP="004C0255">
                      <w:pPr>
                        <w:pStyle w:val="ConsPlusNonformat"/>
                        <w:spacing w:line="100" w:lineRule="atLeast"/>
                        <w:jc w:val="center"/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МП «___» __________ 202__г.</w:t>
                      </w:r>
                    </w:p>
                    <w:p w:rsidR="004C0255" w:rsidRDefault="004C0255" w:rsidP="004C02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2668270" cy="9975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255" w:rsidRDefault="004C0255" w:rsidP="004C0255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Согласовано</w:t>
                            </w:r>
                          </w:p>
                          <w:p w:rsidR="004C0255" w:rsidRDefault="004C0255" w:rsidP="004C0255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4C0255" w:rsidRDefault="004C0255" w:rsidP="004C0255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должность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, наименование организации)</w:t>
                            </w:r>
                          </w:p>
                          <w:p w:rsidR="004C0255" w:rsidRDefault="004C0255" w:rsidP="004C0255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4C0255" w:rsidRDefault="004C0255" w:rsidP="004C0255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.,  подпись)</w:t>
                            </w:r>
                          </w:p>
                          <w:p w:rsidR="004C0255" w:rsidRDefault="004C0255" w:rsidP="004C0255">
                            <w:pPr>
                              <w:pStyle w:val="ConsPlusNonformat"/>
                              <w:spacing w:line="100" w:lineRule="atLeast"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МП «___» __________ 202__г.</w:t>
                            </w:r>
                          </w:p>
                          <w:p w:rsidR="004C0255" w:rsidRDefault="004C0255" w:rsidP="004C02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.3pt;margin-top:2pt;width:210.1pt;height:78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" stroked="f">
                <v:textbox inset="0,0,0,0">
                  <w:txbxContent>
                    <w:p w:rsidR="004C0255" w:rsidRDefault="004C0255" w:rsidP="004C0255">
                      <w:pPr>
                        <w:snapToGrid w:val="0"/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Согласовано</w:t>
                      </w:r>
                    </w:p>
                    <w:p w:rsidR="004C0255" w:rsidRDefault="004C0255" w:rsidP="004C0255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4C0255" w:rsidRDefault="004C0255" w:rsidP="004C0255">
                      <w:pPr>
                        <w:pStyle w:val="ConsPlusNonformat"/>
                        <w:widowControl/>
                        <w:jc w:val="center"/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должность</w:t>
                      </w:r>
                      <w:proofErr w:type="gram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, наименование организации)</w:t>
                      </w:r>
                    </w:p>
                    <w:p w:rsidR="004C0255" w:rsidRDefault="004C0255" w:rsidP="004C0255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4C0255" w:rsidRDefault="004C0255" w:rsidP="004C0255">
                      <w:pPr>
                        <w:pStyle w:val="ConsPlusNonformat"/>
                        <w:widowControl/>
                        <w:jc w:val="center"/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и.о</w:t>
                      </w:r>
                      <w:proofErr w:type="spell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.,  подпись)</w:t>
                      </w:r>
                    </w:p>
                    <w:p w:rsidR="004C0255" w:rsidRDefault="004C0255" w:rsidP="004C0255">
                      <w:pPr>
                        <w:pStyle w:val="ConsPlusNonformat"/>
                        <w:spacing w:line="100" w:lineRule="atLeast"/>
                        <w:jc w:val="center"/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МП «___» __________ 202__г.</w:t>
                      </w:r>
                    </w:p>
                    <w:p w:rsidR="004C0255" w:rsidRDefault="004C0255" w:rsidP="004C02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255" w:rsidRDefault="004C0255" w:rsidP="004C0255">
      <w:pPr>
        <w:snapToGrid w:val="0"/>
        <w:jc w:val="center"/>
      </w:pPr>
    </w:p>
    <w:p w:rsidR="004C0255" w:rsidRDefault="004C0255" w:rsidP="004C0255">
      <w:pPr>
        <w:snapToGrid w:val="0"/>
        <w:jc w:val="center"/>
      </w:pPr>
    </w:p>
    <w:p w:rsidR="004C0255" w:rsidRDefault="004C0255" w:rsidP="004C0255">
      <w:pPr>
        <w:snapToGrid w:val="0"/>
        <w:jc w:val="center"/>
      </w:pPr>
    </w:p>
    <w:p w:rsidR="004C0255" w:rsidRDefault="004C0255" w:rsidP="004C0255">
      <w:pPr>
        <w:snapToGrid w:val="0"/>
        <w:jc w:val="center"/>
      </w:pPr>
    </w:p>
    <w:p w:rsidR="004C0255" w:rsidRDefault="004C0255" w:rsidP="004C0255">
      <w:pPr>
        <w:snapToGrid w:val="0"/>
        <w:jc w:val="center"/>
      </w:pPr>
    </w:p>
    <w:p w:rsidR="004C0255" w:rsidRDefault="004C0255" w:rsidP="004C0255">
      <w:pPr>
        <w:snapToGrid w:val="0"/>
        <w:jc w:val="center"/>
      </w:pPr>
    </w:p>
    <w:p w:rsidR="004C0255" w:rsidRDefault="004C0255" w:rsidP="004C0255">
      <w:pPr>
        <w:snapToGrid w:val="0"/>
        <w:jc w:val="center"/>
      </w:pPr>
    </w:p>
    <w:p w:rsidR="00D64C09" w:rsidRDefault="00D64C09" w:rsidP="004C0255">
      <w:pPr>
        <w:pStyle w:val="3"/>
        <w:spacing w:before="0"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0255" w:rsidRPr="00182AC1" w:rsidRDefault="004C0255" w:rsidP="004C0255">
      <w:pPr>
        <w:pStyle w:val="3"/>
        <w:spacing w:before="0"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82AC1">
        <w:rPr>
          <w:rFonts w:ascii="Times New Roman" w:hAnsi="Times New Roman"/>
          <w:sz w:val="24"/>
          <w:szCs w:val="24"/>
        </w:rPr>
        <w:t>ТЕХНИЧЕСКОЕ ЗАДАНИЕ</w:t>
      </w:r>
    </w:p>
    <w:p w:rsidR="004C0255" w:rsidRPr="004C0255" w:rsidRDefault="004C0255" w:rsidP="004C0255">
      <w:pPr>
        <w:tabs>
          <w:tab w:val="left" w:pos="8789"/>
        </w:tabs>
        <w:ind w:right="49"/>
        <w:jc w:val="center"/>
        <w:rPr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н</w:t>
      </w:r>
      <w:r w:rsidR="002E2067">
        <w:rPr>
          <w:sz w:val="24"/>
          <w:szCs w:val="24"/>
        </w:rPr>
        <w:t>а</w:t>
      </w:r>
      <w:proofErr w:type="gramEnd"/>
      <w:r w:rsidR="002E2067">
        <w:rPr>
          <w:sz w:val="24"/>
          <w:szCs w:val="24"/>
        </w:rPr>
        <w:t xml:space="preserve"> выполнение разделов</w:t>
      </w:r>
      <w:r w:rsidRPr="004C0255">
        <w:rPr>
          <w:sz w:val="24"/>
          <w:szCs w:val="24"/>
        </w:rPr>
        <w:t xml:space="preserve"> </w:t>
      </w:r>
      <w:r w:rsidR="002E2067">
        <w:rPr>
          <w:sz w:val="24"/>
          <w:szCs w:val="24"/>
        </w:rPr>
        <w:t>ОС, РТ, СВН</w:t>
      </w:r>
      <w:r w:rsidRPr="004C0255">
        <w:rPr>
          <w:sz w:val="24"/>
          <w:szCs w:val="24"/>
        </w:rPr>
        <w:t xml:space="preserve"> по объекту </w:t>
      </w:r>
      <w:r w:rsidRPr="004C0255">
        <w:rPr>
          <w:b/>
          <w:sz w:val="24"/>
          <w:szCs w:val="24"/>
        </w:rPr>
        <w:t>«</w:t>
      </w:r>
      <w:r w:rsidRPr="004C0255">
        <w:rPr>
          <w:b/>
          <w:sz w:val="24"/>
          <w:szCs w:val="24"/>
          <w:lang w:eastAsia="ru-RU"/>
        </w:rPr>
        <w:t xml:space="preserve">ДОЛ «Спутник» по адресу: Свердловская область, </w:t>
      </w:r>
      <w:proofErr w:type="spellStart"/>
      <w:r w:rsidRPr="004C0255">
        <w:rPr>
          <w:b/>
          <w:sz w:val="24"/>
          <w:szCs w:val="24"/>
          <w:lang w:eastAsia="ru-RU"/>
        </w:rPr>
        <w:t>Сысертский</w:t>
      </w:r>
      <w:proofErr w:type="spellEnd"/>
      <w:r w:rsidRPr="004C0255">
        <w:rPr>
          <w:b/>
          <w:sz w:val="24"/>
          <w:szCs w:val="24"/>
          <w:lang w:eastAsia="ru-RU"/>
        </w:rPr>
        <w:t xml:space="preserve"> район, г. Арамиль, ул. </w:t>
      </w:r>
      <w:proofErr w:type="spellStart"/>
      <w:r w:rsidRPr="004C0255">
        <w:rPr>
          <w:b/>
          <w:sz w:val="24"/>
          <w:szCs w:val="24"/>
          <w:lang w:eastAsia="ru-RU"/>
        </w:rPr>
        <w:t>Красногорская</w:t>
      </w:r>
      <w:proofErr w:type="spellEnd"/>
      <w:r w:rsidRPr="004C0255">
        <w:rPr>
          <w:b/>
          <w:sz w:val="24"/>
          <w:szCs w:val="24"/>
          <w:lang w:eastAsia="ru-RU"/>
        </w:rPr>
        <w:t>, 2»</w:t>
      </w:r>
    </w:p>
    <w:p w:rsidR="004C0255" w:rsidRDefault="004C0255" w:rsidP="004C0255">
      <w:pPr>
        <w:tabs>
          <w:tab w:val="left" w:pos="8789"/>
        </w:tabs>
        <w:ind w:right="49"/>
        <w:jc w:val="center"/>
        <w:rPr>
          <w:rFonts w:ascii="Arial" w:hAnsi="Arial"/>
          <w:i/>
          <w:iCs/>
        </w:rPr>
      </w:pPr>
    </w:p>
    <w:tbl>
      <w:tblPr>
        <w:tblW w:w="9990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35"/>
        <w:gridCol w:w="3210"/>
        <w:gridCol w:w="6045"/>
      </w:tblGrid>
      <w:tr w:rsidR="004C0255" w:rsidTr="00BE56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Перечень сведений и требований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Содержание основных сведений и требований</w:t>
            </w:r>
          </w:p>
        </w:tc>
      </w:tr>
      <w:tr w:rsidR="004C0255" w:rsidTr="00BE56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Наименование объекта, шифр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55" w:rsidRPr="009A6D91" w:rsidRDefault="004C0255" w:rsidP="00BE56F7">
            <w:pPr>
              <w:snapToGrid w:val="0"/>
              <w:rPr>
                <w:iCs/>
                <w:sz w:val="22"/>
                <w:szCs w:val="22"/>
              </w:rPr>
            </w:pPr>
            <w:r w:rsidRPr="009A6D91">
              <w:rPr>
                <w:rFonts w:eastAsia="Arial"/>
                <w:color w:val="000000"/>
                <w:sz w:val="22"/>
                <w:szCs w:val="22"/>
              </w:rPr>
              <w:t xml:space="preserve">ДОЛ «Спутник» по адресу: Свердловская область, </w:t>
            </w:r>
            <w:proofErr w:type="spellStart"/>
            <w:r w:rsidRPr="009A6D91">
              <w:rPr>
                <w:rFonts w:eastAsia="Arial"/>
                <w:color w:val="000000"/>
                <w:sz w:val="22"/>
                <w:szCs w:val="22"/>
              </w:rPr>
              <w:t>Сысертский</w:t>
            </w:r>
            <w:proofErr w:type="spellEnd"/>
            <w:r w:rsidRPr="009A6D91">
              <w:rPr>
                <w:rFonts w:eastAsia="Arial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9A6D91">
              <w:rPr>
                <w:rFonts w:eastAsia="Arial"/>
                <w:color w:val="000000"/>
                <w:sz w:val="22"/>
                <w:szCs w:val="22"/>
              </w:rPr>
              <w:t>г.Арамиль</w:t>
            </w:r>
            <w:proofErr w:type="spellEnd"/>
            <w:r w:rsidRPr="009A6D91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6D91">
              <w:rPr>
                <w:rFonts w:eastAsia="Arial"/>
                <w:color w:val="000000"/>
                <w:sz w:val="22"/>
                <w:szCs w:val="22"/>
              </w:rPr>
              <w:t>ул.Красногорская</w:t>
            </w:r>
            <w:proofErr w:type="spellEnd"/>
            <w:r w:rsidRPr="009A6D91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A6D91">
              <w:rPr>
                <w:rFonts w:eastAsia="Arial"/>
                <w:color w:val="000000"/>
                <w:sz w:val="22"/>
                <w:szCs w:val="22"/>
              </w:rPr>
              <w:t>2  543.22</w:t>
            </w:r>
            <w:proofErr w:type="gramEnd"/>
          </w:p>
        </w:tc>
      </w:tr>
      <w:tr w:rsidR="004C0255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Назначение объекта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55" w:rsidRPr="009A6D91" w:rsidRDefault="004C0255" w:rsidP="00BE56F7">
            <w:pPr>
              <w:snapToGrid w:val="0"/>
              <w:rPr>
                <w:iCs/>
                <w:sz w:val="22"/>
                <w:szCs w:val="22"/>
              </w:rPr>
            </w:pPr>
            <w:r w:rsidRPr="009A6D91">
              <w:rPr>
                <w:rFonts w:eastAsia="Arial"/>
                <w:color w:val="000000"/>
                <w:sz w:val="22"/>
                <w:szCs w:val="22"/>
              </w:rPr>
              <w:t>Детский оздоровительный лагерь</w:t>
            </w:r>
          </w:p>
        </w:tc>
      </w:tr>
      <w:tr w:rsidR="004C0255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Вид строительства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55" w:rsidRPr="009A6D91" w:rsidRDefault="004C0255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color w:val="000000"/>
                <w:spacing w:val="-1"/>
                <w:sz w:val="22"/>
                <w:szCs w:val="22"/>
              </w:rPr>
            </w:pPr>
            <w:proofErr w:type="spellStart"/>
            <w:r w:rsidRPr="009A6D91">
              <w:rPr>
                <w:iCs/>
                <w:color w:val="000000"/>
                <w:spacing w:val="-1"/>
                <w:sz w:val="22"/>
                <w:szCs w:val="22"/>
              </w:rPr>
              <w:t>Кап.ремонт</w:t>
            </w:r>
            <w:proofErr w:type="spellEnd"/>
          </w:p>
        </w:tc>
      </w:tr>
      <w:tr w:rsidR="004C0255" w:rsidTr="00BE56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Месторасположение проектируемого объекта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55" w:rsidRPr="009A6D91" w:rsidRDefault="004C0255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color w:val="000000"/>
                <w:spacing w:val="-1"/>
                <w:sz w:val="22"/>
                <w:szCs w:val="22"/>
              </w:rPr>
            </w:pPr>
            <w:r w:rsidRPr="009A6D91">
              <w:rPr>
                <w:rFonts w:eastAsia="Arial"/>
                <w:color w:val="000000"/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9A6D91">
              <w:rPr>
                <w:rFonts w:eastAsia="Arial"/>
                <w:color w:val="000000"/>
                <w:sz w:val="22"/>
                <w:szCs w:val="22"/>
              </w:rPr>
              <w:t>Сысертский</w:t>
            </w:r>
            <w:proofErr w:type="spellEnd"/>
            <w:r w:rsidRPr="009A6D91">
              <w:rPr>
                <w:rFonts w:eastAsia="Arial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9A6D91">
              <w:rPr>
                <w:rFonts w:eastAsia="Arial"/>
                <w:color w:val="000000"/>
                <w:sz w:val="22"/>
                <w:szCs w:val="22"/>
              </w:rPr>
              <w:t>г.Арамиль</w:t>
            </w:r>
            <w:proofErr w:type="spellEnd"/>
            <w:r w:rsidRPr="009A6D91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6D91">
              <w:rPr>
                <w:rFonts w:eastAsia="Arial"/>
                <w:color w:val="000000"/>
                <w:sz w:val="22"/>
                <w:szCs w:val="22"/>
              </w:rPr>
              <w:t>ул.Красногорская</w:t>
            </w:r>
            <w:proofErr w:type="spellEnd"/>
            <w:r w:rsidRPr="009A6D91">
              <w:rPr>
                <w:rFonts w:eastAsia="Arial"/>
                <w:color w:val="000000"/>
                <w:sz w:val="22"/>
                <w:szCs w:val="22"/>
              </w:rPr>
              <w:t>, 2</w:t>
            </w:r>
          </w:p>
        </w:tc>
      </w:tr>
      <w:tr w:rsidR="004C0255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</w:t>
            </w:r>
          </w:p>
        </w:tc>
        <w:tc>
          <w:tcPr>
            <w:tcW w:w="9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55" w:rsidRPr="002E2067" w:rsidRDefault="004C0255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067">
              <w:rPr>
                <w:rFonts w:ascii="Arial" w:hAnsi="Arial" w:cs="Arial"/>
                <w:i/>
                <w:iCs/>
                <w:szCs w:val="22"/>
              </w:rPr>
              <w:t>Сведения об объекте</w:t>
            </w:r>
          </w:p>
        </w:tc>
      </w:tr>
      <w:tr w:rsidR="004C0255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255" w:rsidRDefault="004C0255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Класс функциональной пожарной опасности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55" w:rsidRPr="009A6D91" w:rsidRDefault="004C0255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 w:rsidRPr="009A6D91">
              <w:rPr>
                <w:iCs/>
                <w:sz w:val="22"/>
                <w:szCs w:val="22"/>
              </w:rPr>
              <w:t>В соответствии с «Техническим регламентом о требованиях пожарной безопасности» ст.32 гл.9</w:t>
            </w: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AE6BD8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Перечень оборудования, марка, производитель;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AE6BD8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Определить проектом.</w:t>
            </w: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Основные требования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Default="00AE6BD8" w:rsidP="002E206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Разработать разделы рабочей документации:</w:t>
            </w:r>
          </w:p>
          <w:p w:rsidR="00AE6BD8" w:rsidRDefault="00AE6BD8" w:rsidP="002E206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Охранная и охранно-пожарная сигнализация (ОС);</w:t>
            </w:r>
          </w:p>
          <w:p w:rsidR="00AE6BD8" w:rsidRDefault="00AE6BD8" w:rsidP="002E206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Радиосвязь, радиовещание и телевидение (РТ);</w:t>
            </w:r>
          </w:p>
          <w:p w:rsidR="00AE6BD8" w:rsidRDefault="00AE6BD8" w:rsidP="002E206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Система видеонаблюдения (СВН).</w:t>
            </w:r>
          </w:p>
          <w:p w:rsidR="00AE6BD8" w:rsidRDefault="00AE6BD8" w:rsidP="002E206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</w:p>
          <w:p w:rsidR="00AE6BD8" w:rsidRDefault="00AE6BD8" w:rsidP="002E2067">
            <w:pPr>
              <w:suppressLineNumbers/>
              <w:snapToGrid w:val="0"/>
              <w:jc w:val="both"/>
              <w:rPr>
                <w:b/>
                <w:i/>
                <w:iCs/>
                <w:spacing w:val="-6"/>
                <w:sz w:val="22"/>
                <w:szCs w:val="22"/>
              </w:rPr>
            </w:pPr>
            <w:r w:rsidRPr="00A84D25">
              <w:rPr>
                <w:b/>
                <w:i/>
                <w:iCs/>
                <w:spacing w:val="-6"/>
                <w:sz w:val="22"/>
                <w:szCs w:val="22"/>
              </w:rPr>
              <w:t>Наружные сети системы охранно-пожарной сигнализации (протяженность сетей -8</w:t>
            </w:r>
            <w:r>
              <w:rPr>
                <w:b/>
                <w:i/>
                <w:iCs/>
                <w:spacing w:val="-6"/>
                <w:sz w:val="22"/>
                <w:szCs w:val="22"/>
              </w:rPr>
              <w:t>94</w:t>
            </w:r>
            <w:r w:rsidRPr="00A84D25">
              <w:rPr>
                <w:b/>
                <w:i/>
                <w:iCs/>
                <w:spacing w:val="-6"/>
                <w:sz w:val="22"/>
                <w:szCs w:val="22"/>
              </w:rPr>
              <w:t xml:space="preserve"> метров):  </w:t>
            </w:r>
          </w:p>
          <w:p w:rsidR="00AE6BD8" w:rsidRDefault="00AE6BD8" w:rsidP="002E206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25">
              <w:rPr>
                <w:sz w:val="22"/>
                <w:szCs w:val="22"/>
              </w:rPr>
              <w:t>системы оповещения людей о пожаре и управления эвакуации людей должны предусматриваться в соответствии с требованиями Федерального закона №123-ФЗ, НПБ 110-03, НПБ 88-2001;</w:t>
            </w:r>
          </w:p>
          <w:p w:rsidR="00AE6BD8" w:rsidRDefault="00AE6BD8" w:rsidP="002E206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25">
              <w:rPr>
                <w:sz w:val="22"/>
                <w:szCs w:val="22"/>
              </w:rPr>
              <w:t>систему пожарной сигнализации запроектировать в соответствии с требованиями СП 5.13130-2009, СП 6.13130.2009, РД 78.145-93, ПУЭ и др. нормативной документацией;</w:t>
            </w:r>
          </w:p>
          <w:p w:rsidR="00AE6BD8" w:rsidRDefault="00AE6BD8" w:rsidP="002E206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 xml:space="preserve">- проектом предусмотреть передачу информации о состоянии пожарных </w:t>
            </w:r>
            <w:proofErr w:type="spellStart"/>
            <w:r w:rsidRPr="00A84D25">
              <w:rPr>
                <w:sz w:val="22"/>
                <w:szCs w:val="22"/>
              </w:rPr>
              <w:t>извещателей</w:t>
            </w:r>
            <w:proofErr w:type="spellEnd"/>
            <w:r w:rsidRPr="00A84D25">
              <w:rPr>
                <w:sz w:val="22"/>
                <w:szCs w:val="22"/>
              </w:rPr>
              <w:t xml:space="preserve"> из всех зданий, оборудованных системой пожарной сигнализации на пост охраны и в кабинет директора ДОЛ, иное по согласованию с Заказчиком.</w:t>
            </w:r>
          </w:p>
          <w:p w:rsidR="00AE6BD8" w:rsidRDefault="00AE6BD8" w:rsidP="002E206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для передачи в автоматическом режиме сигнала о пожаре в противопожарные службы без участия работников объекта предусмотреть установку программно-аппаратного комплекса «Стрелец-мониторинг» с дублированием светового и звукового сигналов на пульт подразделения пожарной охраны без участия работников объекта и (или) транслирующей этот сигнал организации. Программно-аппаратный комплекс должен осуществлять двухстороннюю связь: по радиоканалу на выделенных специально для МЧС частотах; по телефонной проводной сети; по каналам сотовой связи;</w:t>
            </w:r>
          </w:p>
          <w:p w:rsidR="00AE6BD8" w:rsidRDefault="00AE6BD8" w:rsidP="002E206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основным каналом связи для программно-аппаратного комплекса является двухсторонний радиоканал на выделенных специально для МЧС частотах;</w:t>
            </w:r>
          </w:p>
          <w:p w:rsidR="00AE6BD8" w:rsidRPr="00A84D25" w:rsidRDefault="00AE6BD8" w:rsidP="00AE6BD8">
            <w:pPr>
              <w:pStyle w:val="Default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 xml:space="preserve">- оборудование и материалы, применяемые для систем пожарной сигнализации, системы оповещения людей о </w:t>
            </w:r>
            <w:r w:rsidRPr="00A84D25">
              <w:rPr>
                <w:sz w:val="22"/>
                <w:szCs w:val="22"/>
              </w:rPr>
              <w:lastRenderedPageBreak/>
              <w:t>пожаре и управления эвакуации людей должны быть сертифицированы в РФ;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систему противопожарной автоматики предусмотреть в соответствии с НПБ 110-03</w:t>
            </w:r>
            <w:r>
              <w:rPr>
                <w:sz w:val="22"/>
                <w:szCs w:val="22"/>
              </w:rPr>
              <w:t>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</w:t>
            </w:r>
            <w:r w:rsidR="00004FCA">
              <w:rPr>
                <w:sz w:val="22"/>
                <w:szCs w:val="22"/>
              </w:rPr>
              <w:t xml:space="preserve"> </w:t>
            </w:r>
            <w:r w:rsidRPr="00A84D25">
              <w:rPr>
                <w:sz w:val="22"/>
                <w:szCs w:val="22"/>
              </w:rPr>
              <w:t xml:space="preserve">предусмотреть установку оборудования для передачи сигнала «тревожной кнопки» с 2 </w:t>
            </w:r>
            <w:proofErr w:type="spellStart"/>
            <w:r w:rsidRPr="00A84D25">
              <w:rPr>
                <w:sz w:val="22"/>
                <w:szCs w:val="22"/>
              </w:rPr>
              <w:t>брелками</w:t>
            </w:r>
            <w:proofErr w:type="spellEnd"/>
            <w:r w:rsidRPr="00A84D25">
              <w:rPr>
                <w:sz w:val="22"/>
                <w:szCs w:val="22"/>
              </w:rPr>
              <w:t xml:space="preserve"> на посту охраны. Перечень оборудования и алгоритм работы согласовать с Заказчиком;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предусмотреть возможность установки тревожной кнопки в помещении охраны с выводом сигнала на пульт РУВД МВД и дистанционный пульт управления (брелок) в количестве 2 шт.;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</w:t>
            </w:r>
            <w:r w:rsidR="00004FCA">
              <w:rPr>
                <w:sz w:val="22"/>
                <w:szCs w:val="22"/>
              </w:rPr>
              <w:t xml:space="preserve"> </w:t>
            </w:r>
            <w:r w:rsidRPr="00A84D25">
              <w:rPr>
                <w:sz w:val="22"/>
                <w:szCs w:val="22"/>
              </w:rPr>
              <w:t>сети оповещения   запроектировать кабельными;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</w:t>
            </w:r>
            <w:r w:rsidR="00004FCA">
              <w:rPr>
                <w:sz w:val="22"/>
                <w:szCs w:val="22"/>
              </w:rPr>
              <w:t xml:space="preserve"> </w:t>
            </w:r>
            <w:r w:rsidRPr="00A84D25">
              <w:rPr>
                <w:sz w:val="22"/>
                <w:szCs w:val="22"/>
              </w:rPr>
              <w:t>прокладку кабеля в траншее, пересечения с подземными коммуникациями и автодорогой выполнить согласно, типового проекта «Прокладка кабелей напряжением до 35кВ в траншеях» шифр А5-92;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</w:t>
            </w:r>
            <w:r w:rsidR="00004FCA">
              <w:rPr>
                <w:sz w:val="22"/>
                <w:szCs w:val="22"/>
              </w:rPr>
              <w:t xml:space="preserve"> </w:t>
            </w:r>
            <w:r w:rsidRPr="00A84D25">
              <w:rPr>
                <w:sz w:val="22"/>
                <w:szCs w:val="22"/>
              </w:rPr>
              <w:t>предусмотреть восстановление благоустройства после завершения земляных работ в соответствии с Правилами благоустройства территории муниципального образования «город Екатеринбург» глава 11;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b/>
                <w:bCs/>
                <w:i/>
                <w:iCs/>
                <w:sz w:val="22"/>
                <w:szCs w:val="22"/>
              </w:rPr>
              <w:t>Наружные сети системы речевых сообщений и фонового музыкального сопровождения (протяженность сетей -1040 метров):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25">
              <w:rPr>
                <w:sz w:val="22"/>
                <w:szCs w:val="22"/>
              </w:rPr>
              <w:t xml:space="preserve">Специализированная система озвучивания сообщений и оповещения об эвакуации в случае пожара по всей территории ДОЛ (интеграция с СОУЭ). 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25">
              <w:rPr>
                <w:sz w:val="22"/>
                <w:szCs w:val="22"/>
              </w:rPr>
              <w:t xml:space="preserve">Источник сигнала: аудиоустройства - CD-проигрыватели, радиоприемники, микрофоны, компьютеры. Озвучивание территории производить от рупоров или акустических прожекторов, обеспечивающих узконаправленное распространенное распределение звука. 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25">
              <w:rPr>
                <w:sz w:val="22"/>
                <w:szCs w:val="22"/>
              </w:rPr>
              <w:t xml:space="preserve">Предусмотреть: наличие контроллеров для изменения настроек системы или включения тех или иных оповещений; наличие коммутаторов, с помощью которых можно масштабировать систему озвучивания, увеличивать количество зон, подключать дополнительное оборудование, создавать новые сообщения. 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25">
              <w:rPr>
                <w:sz w:val="22"/>
                <w:szCs w:val="22"/>
              </w:rPr>
              <w:t>Система озвучивания должна включать средства обратной связи - микрофоны и вызывные панели, с помощью которых сотрудники могут связаться с диспетчером (охраной). Система должна являться частью интеграционного комплекса систем безопасности и автоматически взаимодействовать с другими системами (видеонаблюдения, пожарной сигнализацией).</w:t>
            </w:r>
          </w:p>
          <w:p w:rsidR="00AE6BD8" w:rsidRPr="00A84D25" w:rsidRDefault="00AE6BD8" w:rsidP="00AE6BD8">
            <w:pPr>
              <w:tabs>
                <w:tab w:val="left" w:pos="0"/>
                <w:tab w:val="left" w:pos="224"/>
                <w:tab w:val="left" w:pos="694"/>
              </w:tabs>
              <w:spacing w:line="228" w:lineRule="auto"/>
              <w:rPr>
                <w:sz w:val="22"/>
                <w:szCs w:val="22"/>
              </w:rPr>
            </w:pPr>
            <w:r w:rsidRPr="00AE6BD8">
              <w:rPr>
                <w:sz w:val="22"/>
                <w:szCs w:val="22"/>
                <w:u w:val="single"/>
              </w:rPr>
              <w:t>Основные возможности системы озвучивания</w:t>
            </w:r>
            <w:r w:rsidRPr="00A84D25">
              <w:rPr>
                <w:sz w:val="22"/>
                <w:szCs w:val="22"/>
              </w:rPr>
              <w:t>:</w:t>
            </w:r>
          </w:p>
          <w:p w:rsidR="00AE6BD8" w:rsidRPr="00A84D25" w:rsidRDefault="00AE6BD8" w:rsidP="00AE6BD8">
            <w:pPr>
              <w:tabs>
                <w:tab w:val="left" w:pos="0"/>
                <w:tab w:val="left" w:pos="224"/>
                <w:tab w:val="left" w:pos="694"/>
              </w:tabs>
              <w:spacing w:line="228" w:lineRule="auto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84D25">
              <w:rPr>
                <w:sz w:val="22"/>
                <w:szCs w:val="22"/>
              </w:rPr>
              <w:t>экстренное оповещение об эвакуации;</w:t>
            </w:r>
          </w:p>
          <w:p w:rsidR="00AE6BD8" w:rsidRPr="00A84D25" w:rsidRDefault="00AE6BD8" w:rsidP="00AE6BD8">
            <w:pPr>
              <w:tabs>
                <w:tab w:val="left" w:pos="0"/>
                <w:tab w:val="left" w:pos="224"/>
                <w:tab w:val="left" w:pos="694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25">
              <w:rPr>
                <w:sz w:val="22"/>
                <w:szCs w:val="22"/>
              </w:rPr>
              <w:t>фоновое музыкальное сопровождение;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25">
              <w:rPr>
                <w:sz w:val="22"/>
                <w:szCs w:val="22"/>
              </w:rPr>
              <w:t xml:space="preserve">информирование </w:t>
            </w:r>
            <w:r w:rsidRPr="001D25C5">
              <w:rPr>
                <w:sz w:val="22"/>
                <w:szCs w:val="22"/>
              </w:rPr>
              <w:t>детей (воспитанников),</w:t>
            </w:r>
            <w:r w:rsidRPr="00A84D25">
              <w:rPr>
                <w:sz w:val="22"/>
                <w:szCs w:val="22"/>
              </w:rPr>
              <w:t xml:space="preserve"> персонала (речевые объявления).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E6BD8">
              <w:rPr>
                <w:sz w:val="22"/>
                <w:szCs w:val="22"/>
                <w:u w:val="single"/>
              </w:rPr>
              <w:t>Функции</w:t>
            </w:r>
            <w:r w:rsidRPr="00A84D25">
              <w:rPr>
                <w:sz w:val="22"/>
                <w:szCs w:val="22"/>
              </w:rPr>
              <w:t>: подключение к системам охранной и пожарной сигнализации для автоматического оповещения о пожаре или возникновения какой-либо чрезвычайной ситуации</w:t>
            </w:r>
          </w:p>
          <w:p w:rsidR="00AE6BD8" w:rsidRPr="00AE6BD8" w:rsidRDefault="00AE6BD8" w:rsidP="00AE6BD8">
            <w:pPr>
              <w:tabs>
                <w:tab w:val="left" w:pos="0"/>
                <w:tab w:val="left" w:pos="224"/>
                <w:tab w:val="left" w:pos="694"/>
              </w:tabs>
              <w:spacing w:line="228" w:lineRule="auto"/>
              <w:rPr>
                <w:sz w:val="22"/>
                <w:szCs w:val="22"/>
                <w:u w:val="single"/>
              </w:rPr>
            </w:pPr>
            <w:r w:rsidRPr="00AE6BD8">
              <w:rPr>
                <w:sz w:val="22"/>
                <w:szCs w:val="22"/>
                <w:u w:val="single"/>
              </w:rPr>
              <w:t>Управление и зонирование:</w:t>
            </w:r>
          </w:p>
          <w:p w:rsidR="00AE6BD8" w:rsidRPr="00A84D25" w:rsidRDefault="00AE6BD8" w:rsidP="00AE6BD8">
            <w:pPr>
              <w:tabs>
                <w:tab w:val="left" w:pos="0"/>
                <w:tab w:val="left" w:pos="224"/>
                <w:tab w:val="left" w:pos="694"/>
              </w:tabs>
              <w:spacing w:line="228" w:lineRule="auto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управление осуществляется с центрального пульта охраны, а также с помощью пультов дистанционного управления;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 объект разбить на зоны (отдыхающие, административный блок) для возможности проведения индивидуальной трансляции.</w:t>
            </w:r>
          </w:p>
          <w:p w:rsidR="00AE6BD8" w:rsidRPr="00A84D25" w:rsidRDefault="00AE6BD8" w:rsidP="00AE6BD8">
            <w:pPr>
              <w:tabs>
                <w:tab w:val="left" w:pos="0"/>
                <w:tab w:val="left" w:pos="224"/>
                <w:tab w:val="left" w:pos="694"/>
              </w:tabs>
              <w:spacing w:line="228" w:lineRule="auto"/>
              <w:rPr>
                <w:sz w:val="22"/>
                <w:szCs w:val="22"/>
              </w:rPr>
            </w:pPr>
            <w:r w:rsidRPr="00AE6BD8">
              <w:rPr>
                <w:sz w:val="22"/>
                <w:szCs w:val="22"/>
                <w:u w:val="single"/>
              </w:rPr>
              <w:t xml:space="preserve">Система формирования </w:t>
            </w:r>
            <w:proofErr w:type="spellStart"/>
            <w:r w:rsidRPr="00AE6BD8">
              <w:rPr>
                <w:sz w:val="22"/>
                <w:szCs w:val="22"/>
                <w:u w:val="single"/>
              </w:rPr>
              <w:t>аудиосигнала</w:t>
            </w:r>
            <w:proofErr w:type="spellEnd"/>
            <w:r w:rsidRPr="00A84D25">
              <w:rPr>
                <w:sz w:val="22"/>
                <w:szCs w:val="22"/>
              </w:rPr>
              <w:t>:</w:t>
            </w:r>
          </w:p>
          <w:p w:rsidR="00AE6BD8" w:rsidRPr="00A84D25" w:rsidRDefault="00AE6BD8" w:rsidP="00AE6BD8">
            <w:pPr>
              <w:tabs>
                <w:tab w:val="left" w:pos="0"/>
                <w:tab w:val="left" w:pos="224"/>
                <w:tab w:val="left" w:pos="694"/>
              </w:tabs>
              <w:spacing w:line="228" w:lineRule="auto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 xml:space="preserve">- звук поступает в систему из различных модулей </w:t>
            </w:r>
            <w:proofErr w:type="spellStart"/>
            <w:r w:rsidRPr="00A84D25">
              <w:rPr>
                <w:sz w:val="22"/>
                <w:szCs w:val="22"/>
              </w:rPr>
              <w:t>аудиосигнала</w:t>
            </w:r>
            <w:proofErr w:type="spellEnd"/>
            <w:r w:rsidRPr="00A84D25">
              <w:rPr>
                <w:sz w:val="22"/>
                <w:szCs w:val="22"/>
              </w:rPr>
              <w:t xml:space="preserve"> - CD-проигрывателей, радиоприемников, микрофонов, компьютеров;</w:t>
            </w:r>
          </w:p>
          <w:p w:rsidR="00AE6BD8" w:rsidRDefault="00AE6BD8" w:rsidP="00AE6BD8">
            <w:pPr>
              <w:tabs>
                <w:tab w:val="left" w:pos="0"/>
                <w:tab w:val="left" w:pos="224"/>
                <w:tab w:val="left" w:pos="694"/>
              </w:tabs>
              <w:spacing w:line="228" w:lineRule="auto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громкость сигнала оповещения должен быть не менее чем на 15дБ от окружающего уровня шума.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-м</w:t>
            </w:r>
            <w:r w:rsidRPr="00A84D25">
              <w:rPr>
                <w:sz w:val="22"/>
                <w:szCs w:val="22"/>
              </w:rPr>
              <w:t>инимальный уровень пожарного оповещения устанавливается в 65 дБ, максимальный в 110 дБ.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Pr="00A84D25">
              <w:rPr>
                <w:sz w:val="22"/>
                <w:szCs w:val="22"/>
              </w:rPr>
              <w:t>есперебойная работа: обязательное подключение системы к источникам бесперебойного питания</w:t>
            </w:r>
            <w:r>
              <w:rPr>
                <w:sz w:val="22"/>
                <w:szCs w:val="22"/>
              </w:rPr>
              <w:t>;</w:t>
            </w:r>
          </w:p>
          <w:p w:rsidR="00AE6BD8" w:rsidRPr="00A84D25" w:rsidRDefault="00AE6BD8" w:rsidP="00AE6BD8">
            <w:pPr>
              <w:tabs>
                <w:tab w:val="left" w:pos="0"/>
                <w:tab w:val="left" w:pos="224"/>
                <w:tab w:val="left" w:pos="694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</w:t>
            </w:r>
            <w:r w:rsidRPr="00A84D25">
              <w:rPr>
                <w:sz w:val="22"/>
                <w:szCs w:val="22"/>
              </w:rPr>
              <w:t>есто установки акустического оборудования согласовать с Заказчиком. Выполнить индивидуальный подбор оборудования в зависимости от назначения информирования (колонки, рупоры, звуковые прожекторы)</w:t>
            </w:r>
            <w:r>
              <w:rPr>
                <w:sz w:val="22"/>
                <w:szCs w:val="22"/>
              </w:rPr>
              <w:t>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84D25">
              <w:rPr>
                <w:sz w:val="22"/>
                <w:szCs w:val="22"/>
              </w:rPr>
              <w:t>учесть требования к разборчивости речи.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84D25">
              <w:rPr>
                <w:sz w:val="22"/>
                <w:szCs w:val="22"/>
              </w:rPr>
              <w:t>сети речевых сообщений запроектировать кабельными;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-прокладку кабеля в траншее, пересечения с подземными коммуникациями и автодорогой выполнить согласно, типового проекта «Прокладка кабелей напряжением</w:t>
            </w:r>
            <w:r>
              <w:rPr>
                <w:sz w:val="22"/>
                <w:szCs w:val="22"/>
              </w:rPr>
              <w:t xml:space="preserve"> до 35кВ в траншеях» шифр А5-92.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-предусмотреть восстановление благоустройства после завершения земляных работ в соответствии с Правилами благоустройства территории муниципального образовани</w:t>
            </w:r>
            <w:r>
              <w:rPr>
                <w:sz w:val="22"/>
                <w:szCs w:val="22"/>
              </w:rPr>
              <w:t>я «город Екатеринбург» глава 11.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84D25">
              <w:rPr>
                <w:b/>
                <w:bCs/>
                <w:i/>
                <w:iCs/>
                <w:sz w:val="22"/>
                <w:szCs w:val="22"/>
              </w:rPr>
              <w:t>Наружная система охранного телевидения (</w:t>
            </w:r>
            <w:r>
              <w:rPr>
                <w:b/>
                <w:bCs/>
                <w:i/>
                <w:iCs/>
                <w:sz w:val="22"/>
                <w:szCs w:val="22"/>
              </w:rPr>
              <w:t>количество видеокамер - 35шт.</w:t>
            </w:r>
            <w:r w:rsidRPr="00A84D25">
              <w:rPr>
                <w:b/>
                <w:bCs/>
                <w:i/>
                <w:iCs/>
                <w:sz w:val="22"/>
                <w:szCs w:val="22"/>
              </w:rPr>
              <w:t>):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система охранного телевидения должна обеспечивать полное покрытие зон контроля видеоаппаратурой с высокой степенью разрешения и круглосуточный контроль за защищенными зонами: наружным периметром зданий; входами в здания; территорией. Места установки видеокамер согласовать с Заказчиком;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сигналы сводятся на центральный пост, расположенный в кабинете директора, и на пост охраны, с возможностью записей видеокамер на «жестких» дисках и обеспечения отображение видеоинформации в реальном режиме времени</w:t>
            </w:r>
            <w:r>
              <w:rPr>
                <w:sz w:val="22"/>
                <w:szCs w:val="22"/>
              </w:rPr>
              <w:t>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расстановку видеокамер наблюдения территории выполнить на опорах;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задача видеонаблюдения – зафиксировать нарушение. Срок хранения архива – 30 дней;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система видеонаблюдения – цифровая повышенного разрешения 1280Н;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видеокамеры: разрешение – 1280Н; скорость записи – 25 кадр/сек; фиксированные; видеокамеры наружного наблюдения с ИК-подсветкой;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передача видеосигнала по витой паре, коаксиальному кабелю.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-сети видеонаблюдения запроектировать кабельными;</w:t>
            </w:r>
          </w:p>
          <w:p w:rsidR="00AE6BD8" w:rsidRDefault="00AE6BD8" w:rsidP="00AE6BD8">
            <w:pPr>
              <w:suppressLineNumber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4D25">
              <w:rPr>
                <w:rFonts w:eastAsia="Calibri"/>
                <w:sz w:val="22"/>
                <w:szCs w:val="22"/>
                <w:lang w:eastAsia="en-US"/>
              </w:rPr>
              <w:t xml:space="preserve">-принять коммутаторы, поддерживающие технологию </w:t>
            </w:r>
            <w:proofErr w:type="spellStart"/>
            <w:r w:rsidRPr="00A84D25">
              <w:rPr>
                <w:rFonts w:eastAsia="Calibri"/>
                <w:sz w:val="22"/>
                <w:szCs w:val="22"/>
                <w:lang w:eastAsia="en-US"/>
              </w:rPr>
              <w:t>РоЕ</w:t>
            </w:r>
            <w:proofErr w:type="spellEnd"/>
            <w:r w:rsidRPr="00A84D25">
              <w:rPr>
                <w:rFonts w:eastAsia="Calibri"/>
                <w:sz w:val="22"/>
                <w:szCs w:val="22"/>
                <w:lang w:eastAsia="en-US"/>
              </w:rPr>
              <w:t xml:space="preserve"> с целью создания возможности подключения к СКС </w:t>
            </w:r>
            <w:r w:rsidRPr="00A84D25">
              <w:rPr>
                <w:rFonts w:eastAsia="Calibri"/>
                <w:sz w:val="22"/>
                <w:szCs w:val="22"/>
                <w:lang w:val="en-US" w:eastAsia="en-US"/>
              </w:rPr>
              <w:t>IP</w:t>
            </w:r>
            <w:r w:rsidRPr="00A84D25">
              <w:rPr>
                <w:rFonts w:eastAsia="Calibri"/>
                <w:sz w:val="22"/>
                <w:szCs w:val="22"/>
                <w:lang w:eastAsia="en-US"/>
              </w:rPr>
              <w:t xml:space="preserve">-телефонов, точек доступа беспроводных сетей, </w:t>
            </w:r>
            <w:r w:rsidRPr="00A84D25">
              <w:rPr>
                <w:rFonts w:eastAsia="Calibri"/>
                <w:sz w:val="22"/>
                <w:szCs w:val="22"/>
                <w:lang w:val="en-US" w:eastAsia="en-US"/>
              </w:rPr>
              <w:t>IP</w:t>
            </w:r>
            <w:r w:rsidRPr="00A84D25">
              <w:rPr>
                <w:rFonts w:eastAsia="Calibri"/>
                <w:sz w:val="22"/>
                <w:szCs w:val="22"/>
                <w:lang w:eastAsia="en-US"/>
              </w:rPr>
              <w:t>-камер и других устройств, к которым не проводится отдельный электрический кабель, обеспечивающий питание от источника бесперебойного питания</w:t>
            </w:r>
            <w:r w:rsidR="007B553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B553B" w:rsidRDefault="007B553B" w:rsidP="00AE6BD8">
            <w:pPr>
              <w:suppressLineNumber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4D25">
              <w:rPr>
                <w:rFonts w:eastAsia="Calibri"/>
                <w:sz w:val="22"/>
                <w:szCs w:val="22"/>
                <w:lang w:eastAsia="en-US"/>
              </w:rPr>
              <w:t>-предусмотреть в ИБП возможность управления от сети с целью удаленного мониторинга состояния ИБП техническим специалистом или автоматизированной системой мониторинга;</w:t>
            </w:r>
          </w:p>
          <w:p w:rsidR="007B553B" w:rsidRPr="00A84D25" w:rsidRDefault="007B553B" w:rsidP="007B553B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4D25">
              <w:rPr>
                <w:rFonts w:eastAsia="Calibri"/>
                <w:sz w:val="22"/>
                <w:szCs w:val="22"/>
                <w:lang w:eastAsia="en-US"/>
              </w:rPr>
              <w:t xml:space="preserve">- оптические кроссы выполнять на разъемах типа </w:t>
            </w:r>
            <w:r w:rsidRPr="00A84D25">
              <w:rPr>
                <w:rFonts w:eastAsia="Calibri"/>
                <w:sz w:val="22"/>
                <w:szCs w:val="22"/>
                <w:lang w:val="en-US" w:eastAsia="en-US"/>
              </w:rPr>
              <w:t>SC</w:t>
            </w:r>
            <w:r w:rsidRPr="00A84D25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A84D25">
              <w:rPr>
                <w:rFonts w:eastAsia="Calibri"/>
                <w:sz w:val="22"/>
                <w:szCs w:val="22"/>
                <w:lang w:val="en-US" w:eastAsia="en-US"/>
              </w:rPr>
              <w:t>APC</w:t>
            </w:r>
            <w:r w:rsidRPr="00A84D25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B553B" w:rsidRDefault="007B553B" w:rsidP="00AE6BD8">
            <w:pPr>
              <w:suppressLineNumber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4D25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84D25">
              <w:rPr>
                <w:rFonts w:eastAsia="Calibri"/>
                <w:sz w:val="22"/>
                <w:szCs w:val="22"/>
                <w:lang w:eastAsia="en-US"/>
              </w:rPr>
              <w:t>в рабочую документацию включить расчет емкости видеоархива исходя из необходимости обеспечения ретроспективного хранения всех видеозаписей глубиной 30 дней без снижения качества записи;</w:t>
            </w:r>
          </w:p>
          <w:p w:rsidR="007B553B" w:rsidRDefault="007B553B" w:rsidP="00AE6BD8">
            <w:pPr>
              <w:suppressLineNumber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4D25">
              <w:rPr>
                <w:rFonts w:eastAsia="Calibri"/>
                <w:sz w:val="22"/>
                <w:szCs w:val="22"/>
                <w:lang w:eastAsia="en-US"/>
              </w:rPr>
              <w:t>- в рабочую документацию включить расчет необходимой мощности источников бесперебойного питания для подключения оборудования;</w:t>
            </w:r>
          </w:p>
          <w:p w:rsidR="007B553B" w:rsidRDefault="007B553B" w:rsidP="00AE6BD8">
            <w:pPr>
              <w:suppressLineNumber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4D25">
              <w:rPr>
                <w:rFonts w:eastAsia="Calibri"/>
                <w:sz w:val="22"/>
                <w:szCs w:val="22"/>
                <w:lang w:eastAsia="en-US"/>
              </w:rPr>
              <w:t xml:space="preserve">-оборудование для системы охранного телевидения принять поддерживаемое единой городской системой видеонаблюдения на базе программного обеспечения </w:t>
            </w:r>
            <w:proofErr w:type="spellStart"/>
            <w:r w:rsidRPr="00A84D25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Macroscop</w:t>
            </w:r>
            <w:proofErr w:type="spellEnd"/>
            <w:r w:rsidRPr="00A84D25">
              <w:rPr>
                <w:rFonts w:eastAsia="Calibri"/>
                <w:sz w:val="22"/>
                <w:szCs w:val="22"/>
                <w:lang w:eastAsia="en-US"/>
              </w:rPr>
              <w:t xml:space="preserve">.Список поддерживаемого оборудования см. по ссылке </w:t>
            </w:r>
            <w:hyperlink r:id="rId4" w:history="1"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macroscop</w:t>
              </w:r>
              <w:proofErr w:type="spellEnd"/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com</w:t>
              </w:r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podderzhka</w:t>
              </w:r>
              <w:proofErr w:type="spellEnd"/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podderzhivaemye</w:t>
              </w:r>
              <w:proofErr w:type="spellEnd"/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A84D25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ustrojstva</w:t>
              </w:r>
              <w:proofErr w:type="spellEnd"/>
            </w:hyperlink>
          </w:p>
          <w:p w:rsidR="007B553B" w:rsidRDefault="007B553B" w:rsidP="00AE6BD8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-прокладку кабеля в траншее, пересечения с подземными коммуникациями и автодорогой выполнить согласно, типового проекта «Прокладка кабелей напряжением до 35кВ в траншеях» шифр А5-92;</w:t>
            </w:r>
          </w:p>
          <w:p w:rsidR="007B553B" w:rsidRPr="009A6D91" w:rsidRDefault="007B553B" w:rsidP="007B553B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-предусмотреть восстановление благоустройства после завершения земляных работ в соответствии с Правилами благоустройства территории муниципального образовани</w:t>
            </w:r>
            <w:r>
              <w:rPr>
                <w:sz w:val="22"/>
                <w:szCs w:val="22"/>
              </w:rPr>
              <w:t>я «город Екатеринбург» глава 11.</w:t>
            </w: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AE6BD8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lastRenderedPageBreak/>
              <w:t>5.4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 w:rsidRPr="00A854C5">
              <w:rPr>
                <w:rFonts w:ascii="Arial" w:hAnsi="Arial" w:cs="Arial"/>
                <w:i/>
              </w:rPr>
              <w:t>Требования к кабельным линиям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AE6BD8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Определить проектом.</w:t>
            </w: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 w:rsidRPr="00A854C5">
              <w:rPr>
                <w:rFonts w:ascii="Arial" w:hAnsi="Arial" w:cs="Arial"/>
                <w:i/>
              </w:rPr>
              <w:t>Требования к монтажу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7B553B" w:rsidP="002E206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Определить проектом.</w:t>
            </w: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22DF3">
              <w:rPr>
                <w:rFonts w:ascii="Arial" w:hAnsi="Arial" w:cs="Arial"/>
                <w:i/>
              </w:rPr>
              <w:t>Размещение оборудования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7B553B" w:rsidP="00BE56F7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Определить проектом.</w:t>
            </w:r>
          </w:p>
          <w:p w:rsidR="00AE6BD8" w:rsidRPr="009A6D91" w:rsidRDefault="00AE6BD8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2E206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Дополнительные требования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AE6BD8" w:rsidP="002E206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9A6D91">
              <w:rPr>
                <w:iCs/>
                <w:sz w:val="22"/>
                <w:szCs w:val="22"/>
              </w:rPr>
              <w:t xml:space="preserve"> </w:t>
            </w:r>
          </w:p>
          <w:p w:rsidR="00AE6BD8" w:rsidRPr="009A6D91" w:rsidRDefault="00AE6BD8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5.8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Pr="00A854C5" w:rsidRDefault="00AE6BD8" w:rsidP="00BE56F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Дополнительные исходные данные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AE6BD8" w:rsidP="00BE56F7">
            <w:pPr>
              <w:rPr>
                <w:sz w:val="22"/>
                <w:szCs w:val="22"/>
              </w:rPr>
            </w:pPr>
            <w:r w:rsidRPr="009A6D91">
              <w:rPr>
                <w:iCs/>
                <w:sz w:val="22"/>
                <w:szCs w:val="22"/>
              </w:rPr>
              <w:t>По запросу</w:t>
            </w: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2E206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Pr="00A854C5" w:rsidRDefault="00AE6BD8" w:rsidP="007B553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  <w:iCs/>
              </w:rPr>
              <w:t xml:space="preserve">Состав </w:t>
            </w:r>
            <w:r w:rsidR="007B553B">
              <w:rPr>
                <w:rFonts w:ascii="Arial" w:hAnsi="Arial"/>
                <w:i/>
                <w:iCs/>
              </w:rPr>
              <w:t>разделов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53B" w:rsidRDefault="007B553B" w:rsidP="007B553B">
            <w:pPr>
              <w:shd w:val="clear" w:color="auto" w:fill="FFFFFF"/>
              <w:snapToGrid w:val="0"/>
              <w:spacing w:line="100" w:lineRule="atLeast"/>
              <w:ind w:right="86"/>
              <w:jc w:val="both"/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</w:pPr>
            <w:r w:rsidRPr="00341CC5"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  <w:t>Графическая часть - в соответствии с требованиями действующей нормативно-технической документации в объеме для выполнения СМР, включая:</w:t>
            </w:r>
          </w:p>
          <w:p w:rsidR="00D1208F" w:rsidRPr="00341CC5" w:rsidRDefault="00D1208F" w:rsidP="007B553B">
            <w:pPr>
              <w:shd w:val="clear" w:color="auto" w:fill="FFFFFF"/>
              <w:snapToGrid w:val="0"/>
              <w:spacing w:line="100" w:lineRule="atLeast"/>
              <w:ind w:right="86"/>
              <w:jc w:val="both"/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  <w:t>- общие данные;</w:t>
            </w:r>
            <w:bookmarkStart w:id="0" w:name="_GoBack"/>
            <w:bookmarkEnd w:id="0"/>
          </w:p>
          <w:p w:rsidR="007B553B" w:rsidRPr="007B553B" w:rsidRDefault="007B553B" w:rsidP="007B553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7B553B">
              <w:rPr>
                <w:color w:val="000000"/>
                <w:sz w:val="22"/>
                <w:szCs w:val="22"/>
                <w:lang w:eastAsia="ru-RU"/>
              </w:rPr>
              <w:t>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      </w:r>
          </w:p>
          <w:p w:rsidR="007B553B" w:rsidRPr="007B553B" w:rsidRDefault="007B553B" w:rsidP="007B553B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7B553B">
              <w:rPr>
                <w:color w:val="000000"/>
                <w:sz w:val="22"/>
                <w:szCs w:val="22"/>
                <w:lang w:eastAsia="ru-RU"/>
              </w:rPr>
              <w:t>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      </w:r>
          </w:p>
          <w:p w:rsidR="007B553B" w:rsidRDefault="007B553B" w:rsidP="007B553B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7B553B">
              <w:rPr>
                <w:sz w:val="22"/>
                <w:szCs w:val="22"/>
                <w:lang w:eastAsia="ru-RU"/>
              </w:rPr>
              <w:t>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      </w:r>
          </w:p>
          <w:p w:rsidR="00D64C09" w:rsidRPr="00D64C09" w:rsidRDefault="00D64C09" w:rsidP="00D64C09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D64C09">
              <w:rPr>
                <w:color w:val="000000"/>
                <w:sz w:val="22"/>
                <w:szCs w:val="22"/>
                <w:lang w:eastAsia="ru-RU"/>
              </w:rPr>
              <w:t>принципиальные схемы сетей связи, локальных вычислительных сетей (при наличии) и иных слаботочных сетей на объекте капитального строительства;</w:t>
            </w:r>
          </w:p>
          <w:p w:rsidR="00D64C09" w:rsidRDefault="00D64C09" w:rsidP="00D64C09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D64C09">
              <w:rPr>
                <w:color w:val="000000"/>
                <w:sz w:val="22"/>
                <w:szCs w:val="22"/>
                <w:lang w:eastAsia="ru-RU"/>
              </w:rPr>
              <w:t>планы размещения оконечного оборудования, иных технических, радиоэлектронных средств и высокочастотных устройств (при наличии);</w:t>
            </w:r>
          </w:p>
          <w:p w:rsidR="00AE6BD8" w:rsidRPr="00D64C09" w:rsidRDefault="00D64C09" w:rsidP="00D64C09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D64C09">
              <w:rPr>
                <w:sz w:val="22"/>
                <w:szCs w:val="22"/>
                <w:lang w:eastAsia="ru-RU"/>
              </w:rPr>
              <w:t>план сетей связи.</w:t>
            </w: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Pr="00A854C5" w:rsidRDefault="00AE6BD8" w:rsidP="00BE56F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  <w:iCs/>
              </w:rPr>
              <w:t>Стадия проектирования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AE6BD8" w:rsidP="00BE56F7">
            <w:pPr>
              <w:rPr>
                <w:sz w:val="22"/>
                <w:szCs w:val="22"/>
              </w:rPr>
            </w:pPr>
            <w:r w:rsidRPr="009A6D91">
              <w:rPr>
                <w:iCs/>
                <w:sz w:val="22"/>
                <w:szCs w:val="22"/>
              </w:rPr>
              <w:t>Рабочая документация</w:t>
            </w:r>
          </w:p>
        </w:tc>
      </w:tr>
      <w:tr w:rsidR="00AE6BD8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7.1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Pr="00A854C5" w:rsidRDefault="00AE6BD8" w:rsidP="00BE56F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  <w:iCs/>
              </w:rPr>
              <w:t>Шифр раздела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D64C09" w:rsidP="00BE56F7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 соответствии с составом проекта</w:t>
            </w:r>
          </w:p>
        </w:tc>
      </w:tr>
      <w:tr w:rsidR="00AE6BD8" w:rsidTr="009061F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Форма, условия и порядок оплаты выполнения работ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AE6BD8" w:rsidP="009A6D91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 w:rsidRPr="009A6D91">
              <w:rPr>
                <w:iCs/>
                <w:color w:val="000000"/>
                <w:sz w:val="22"/>
                <w:szCs w:val="22"/>
              </w:rPr>
              <w:t xml:space="preserve">Согласно договора </w:t>
            </w:r>
          </w:p>
        </w:tc>
      </w:tr>
      <w:tr w:rsidR="00AE6BD8" w:rsidTr="00501A3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Срок оплаты выполнения работ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AE6BD8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 w:rsidRPr="009A6D91">
              <w:rPr>
                <w:iCs/>
                <w:color w:val="000000"/>
                <w:sz w:val="22"/>
                <w:szCs w:val="22"/>
              </w:rPr>
              <w:t>Согласно договора</w:t>
            </w:r>
          </w:p>
        </w:tc>
      </w:tr>
      <w:tr w:rsidR="00AE6BD8" w:rsidTr="00E11E7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  <w:spacing w:val="-1"/>
              </w:rPr>
            </w:pPr>
            <w:r>
              <w:rPr>
                <w:rFonts w:ascii="Arial" w:hAnsi="Arial"/>
                <w:i/>
                <w:iCs/>
              </w:rPr>
              <w:t>Наличие документов, подтверждающих соответствие товара, работ, услуг требованиям законодательства РФ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D64C09" w:rsidP="00BE56F7">
            <w:pPr>
              <w:shd w:val="clear" w:color="auto" w:fill="FFFFFF"/>
              <w:snapToGrid w:val="0"/>
              <w:spacing w:line="100" w:lineRule="atLeast"/>
              <w:ind w:right="5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Проектирование должно осуществляться в соответствии с требованиями ПУЭ, СНиП, ГОСТ и других нормативных документов, действующих на территории РФ.</w:t>
            </w:r>
          </w:p>
        </w:tc>
      </w:tr>
      <w:tr w:rsidR="00AE6BD8" w:rsidTr="009061F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Требования к проектной документации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D8" w:rsidRPr="009A6D91" w:rsidRDefault="00D64C09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Работы выполнить в соответствии с Постановлен</w:t>
            </w:r>
            <w:r>
              <w:rPr>
                <w:iCs/>
                <w:sz w:val="22"/>
                <w:szCs w:val="22"/>
              </w:rPr>
              <w:t xml:space="preserve">ие Правительства РФ №87 и </w:t>
            </w:r>
            <w:r w:rsidRPr="000B2644">
              <w:rPr>
                <w:iCs/>
                <w:sz w:val="22"/>
                <w:szCs w:val="22"/>
              </w:rPr>
              <w:t>ГОСТ Р 21.1101-20</w:t>
            </w:r>
            <w:r>
              <w:rPr>
                <w:iCs/>
                <w:sz w:val="22"/>
                <w:szCs w:val="22"/>
              </w:rPr>
              <w:t>20</w:t>
            </w:r>
            <w:r w:rsidRPr="000B2644">
              <w:rPr>
                <w:iCs/>
                <w:sz w:val="22"/>
                <w:szCs w:val="22"/>
              </w:rPr>
              <w:t>.  Необходимо выполнить раздел в объеме необходимом для прохождения государственной</w:t>
            </w:r>
            <w:r>
              <w:rPr>
                <w:iCs/>
                <w:sz w:val="22"/>
                <w:szCs w:val="22"/>
              </w:rPr>
              <w:t xml:space="preserve"> ценовой экспертизы, получения согласования с заказчиком и выполнения СМР.</w:t>
            </w:r>
          </w:p>
        </w:tc>
      </w:tr>
      <w:tr w:rsidR="00AE6BD8" w:rsidTr="00501A3E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lastRenderedPageBreak/>
              <w:t>12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D8" w:rsidRDefault="00AE6BD8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Требования к выдаваемой документации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09" w:rsidRPr="000B2644" w:rsidRDefault="00D64C09" w:rsidP="00D64C0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Проектную (рабочую) документацию оформить согласно действующим нормам на оформление чертежей выполняемого раздела и СТО 04.03-2011 «Правила оформления проектной и рабочей документации».</w:t>
            </w:r>
          </w:p>
          <w:p w:rsidR="00AE6BD8" w:rsidRPr="009A6D91" w:rsidRDefault="00D64C09" w:rsidP="00D64C09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 xml:space="preserve">Работы выполнять (сохранять) в формате </w:t>
            </w:r>
            <w:proofErr w:type="spellStart"/>
            <w:r w:rsidRPr="000B2644">
              <w:rPr>
                <w:iCs/>
                <w:sz w:val="22"/>
                <w:szCs w:val="22"/>
                <w:lang w:val="en-US"/>
              </w:rPr>
              <w:t>dwg</w:t>
            </w:r>
            <w:proofErr w:type="spellEnd"/>
            <w:r w:rsidRPr="000B2644">
              <w:rPr>
                <w:iCs/>
                <w:sz w:val="22"/>
                <w:szCs w:val="22"/>
              </w:rPr>
              <w:t xml:space="preserve"> не позднее версии 2007года, блоки и вставки разбить.</w:t>
            </w:r>
          </w:p>
        </w:tc>
      </w:tr>
    </w:tbl>
    <w:p w:rsidR="004C0255" w:rsidRDefault="004C0255" w:rsidP="004C0255">
      <w:pPr>
        <w:jc w:val="both"/>
      </w:pPr>
    </w:p>
    <w:p w:rsidR="004C0255" w:rsidRDefault="004C0255" w:rsidP="004C0255">
      <w:pPr>
        <w:jc w:val="both"/>
      </w:pPr>
    </w:p>
    <w:p w:rsidR="00861A1E" w:rsidRDefault="00861A1E"/>
    <w:sectPr w:rsidR="00861A1E">
      <w:pgSz w:w="11906" w:h="16838"/>
      <w:pgMar w:top="330" w:right="850" w:bottom="38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55"/>
    <w:rsid w:val="00004FCA"/>
    <w:rsid w:val="002E2067"/>
    <w:rsid w:val="004C0255"/>
    <w:rsid w:val="007B553B"/>
    <w:rsid w:val="00861A1E"/>
    <w:rsid w:val="009A160D"/>
    <w:rsid w:val="009A6D91"/>
    <w:rsid w:val="00AE6BD8"/>
    <w:rsid w:val="00D1208F"/>
    <w:rsid w:val="00D6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5FA3-087A-46C2-9726-B400CCB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C0255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2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C02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A6D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7B55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croscop.com/podderzhka/podderzhivaemye-ustroj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5</cp:revision>
  <dcterms:created xsi:type="dcterms:W3CDTF">2022-04-18T10:15:00Z</dcterms:created>
  <dcterms:modified xsi:type="dcterms:W3CDTF">2022-04-20T06:30:00Z</dcterms:modified>
</cp:coreProperties>
</file>