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534" w:type="dxa"/>
        <w:tblLook w:val="04A0" w:firstRow="1" w:lastRow="0" w:firstColumn="1" w:lastColumn="0" w:noHBand="0" w:noVBand="1"/>
      </w:tblPr>
      <w:tblGrid>
        <w:gridCol w:w="5386"/>
        <w:gridCol w:w="3969"/>
      </w:tblGrid>
      <w:tr w:rsidR="006B0898" w:rsidRPr="006B0898" w:rsidTr="00C40652">
        <w:tc>
          <w:tcPr>
            <w:tcW w:w="5386" w:type="dxa"/>
          </w:tcPr>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СОГЛАСОВАНО:</w:t>
            </w:r>
          </w:p>
          <w:p w:rsidR="006B0898" w:rsidRPr="008B418C" w:rsidRDefault="006B0898" w:rsidP="00A35446">
            <w:pPr>
              <w:suppressAutoHyphens/>
              <w:spacing w:after="0" w:line="240" w:lineRule="auto"/>
              <w:rPr>
                <w:rFonts w:eastAsia="Times New Roman"/>
                <w:szCs w:val="24"/>
                <w:lang w:val="ru-RU" w:eastAsia="ru-RU" w:bidi="ar-SA"/>
              </w:rPr>
            </w:pPr>
          </w:p>
          <w:p w:rsidR="006B0898" w:rsidRDefault="006B0898" w:rsidP="00A35446">
            <w:pPr>
              <w:suppressAutoHyphens/>
              <w:spacing w:after="0" w:line="240" w:lineRule="auto"/>
              <w:rPr>
                <w:rFonts w:eastAsia="Times New Roman"/>
                <w:szCs w:val="24"/>
                <w:lang w:val="ru-RU" w:eastAsia="ru-RU" w:bidi="ar-SA"/>
              </w:rPr>
            </w:pPr>
          </w:p>
          <w:p w:rsidR="00A775F0" w:rsidRDefault="00A775F0" w:rsidP="00A35446">
            <w:pPr>
              <w:suppressAutoHyphens/>
              <w:spacing w:after="0" w:line="240" w:lineRule="auto"/>
              <w:rPr>
                <w:rFonts w:eastAsia="Times New Roman"/>
                <w:szCs w:val="24"/>
                <w:lang w:val="ru-RU" w:eastAsia="ru-RU" w:bidi="ar-SA"/>
              </w:rPr>
            </w:pPr>
          </w:p>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____________ /</w:t>
            </w:r>
            <w:r w:rsidR="00D911AC" w:rsidRPr="006B0898">
              <w:rPr>
                <w:rFonts w:eastAsia="Times New Roman"/>
                <w:szCs w:val="24"/>
                <w:lang w:val="ru-RU" w:eastAsia="ru-RU" w:bidi="ar-SA"/>
              </w:rPr>
              <w:t xml:space="preserve"> </w:t>
            </w:r>
            <w:r w:rsidRPr="006B0898">
              <w:rPr>
                <w:rFonts w:eastAsia="Times New Roman"/>
                <w:szCs w:val="24"/>
                <w:lang w:val="ru-RU" w:eastAsia="ru-RU" w:bidi="ar-SA"/>
              </w:rPr>
              <w:t>/</w:t>
            </w:r>
          </w:p>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«____» ________ 2021г.</w:t>
            </w:r>
          </w:p>
        </w:tc>
        <w:tc>
          <w:tcPr>
            <w:tcW w:w="3969" w:type="dxa"/>
          </w:tcPr>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УТВЕРЖДАЮ:</w:t>
            </w:r>
          </w:p>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Директор ООО «СКС»</w:t>
            </w:r>
          </w:p>
          <w:p w:rsidR="006B0898" w:rsidRDefault="006B0898" w:rsidP="00A35446">
            <w:pPr>
              <w:suppressAutoHyphens/>
              <w:spacing w:after="0" w:line="240" w:lineRule="auto"/>
              <w:rPr>
                <w:rFonts w:eastAsia="Times New Roman"/>
                <w:szCs w:val="24"/>
                <w:lang w:val="ru-RU" w:eastAsia="ru-RU" w:bidi="ar-SA"/>
              </w:rPr>
            </w:pPr>
          </w:p>
          <w:p w:rsidR="00A775F0" w:rsidRPr="006B0898" w:rsidRDefault="00A775F0" w:rsidP="00A35446">
            <w:pPr>
              <w:suppressAutoHyphens/>
              <w:spacing w:after="0" w:line="240" w:lineRule="auto"/>
              <w:rPr>
                <w:rFonts w:eastAsia="Times New Roman"/>
                <w:szCs w:val="24"/>
                <w:lang w:val="ru-RU" w:eastAsia="ru-RU" w:bidi="ar-SA"/>
              </w:rPr>
            </w:pPr>
          </w:p>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_______</w:t>
            </w:r>
            <w:r w:rsidR="00E60B5C">
              <w:rPr>
                <w:rFonts w:eastAsia="Times New Roman"/>
                <w:szCs w:val="24"/>
                <w:lang w:val="ru-RU" w:eastAsia="ru-RU" w:bidi="ar-SA"/>
              </w:rPr>
              <w:t>__</w:t>
            </w:r>
            <w:r w:rsidRPr="006B0898">
              <w:rPr>
                <w:rFonts w:eastAsia="Times New Roman"/>
                <w:szCs w:val="24"/>
                <w:lang w:val="ru-RU" w:eastAsia="ru-RU" w:bidi="ar-SA"/>
              </w:rPr>
              <w:t>___ В.В. Пятков</w:t>
            </w:r>
          </w:p>
          <w:p w:rsidR="006B0898" w:rsidRPr="006B0898" w:rsidRDefault="006B0898" w:rsidP="00A35446">
            <w:pPr>
              <w:suppressAutoHyphens/>
              <w:spacing w:after="0" w:line="240" w:lineRule="auto"/>
              <w:rPr>
                <w:rFonts w:eastAsia="Times New Roman"/>
                <w:szCs w:val="24"/>
                <w:lang w:val="ru-RU" w:eastAsia="ru-RU" w:bidi="ar-SA"/>
              </w:rPr>
            </w:pPr>
            <w:r w:rsidRPr="006B0898">
              <w:rPr>
                <w:rFonts w:eastAsia="Times New Roman"/>
                <w:szCs w:val="24"/>
                <w:lang w:val="ru-RU" w:eastAsia="ru-RU" w:bidi="ar-SA"/>
              </w:rPr>
              <w:t>«____» ________ 202</w:t>
            </w:r>
            <w:r w:rsidRPr="006B0898">
              <w:rPr>
                <w:rFonts w:eastAsia="Times New Roman"/>
                <w:szCs w:val="24"/>
                <w:lang w:eastAsia="ru-RU" w:bidi="ar-SA"/>
              </w:rPr>
              <w:t>1</w:t>
            </w:r>
            <w:r w:rsidRPr="006B0898">
              <w:rPr>
                <w:rFonts w:eastAsia="Times New Roman"/>
                <w:szCs w:val="24"/>
                <w:lang w:val="ru-RU" w:eastAsia="ru-RU" w:bidi="ar-SA"/>
              </w:rPr>
              <w:t>г.</w:t>
            </w:r>
          </w:p>
        </w:tc>
      </w:tr>
    </w:tbl>
    <w:p w:rsidR="00A35446" w:rsidRDefault="00A35446" w:rsidP="00A35446">
      <w:pPr>
        <w:spacing w:after="0" w:line="240" w:lineRule="auto"/>
        <w:contextualSpacing/>
        <w:jc w:val="center"/>
        <w:rPr>
          <w:rFonts w:eastAsia="Calibri"/>
          <w:b/>
          <w:szCs w:val="24"/>
          <w:lang w:val="ru-RU" w:bidi="ar-SA"/>
        </w:rPr>
      </w:pPr>
      <w:bookmarkStart w:id="0" w:name="_Toc415585237"/>
      <w:bookmarkStart w:id="1" w:name="_Toc25673425"/>
      <w:bookmarkStart w:id="2" w:name="_Toc25834741"/>
      <w:bookmarkStart w:id="3" w:name="_Toc25835645"/>
      <w:bookmarkStart w:id="4" w:name="_Toc25937345"/>
      <w:bookmarkStart w:id="5" w:name="_Toc25937346"/>
    </w:p>
    <w:p w:rsidR="00BC2B24" w:rsidRDefault="00BC2B24" w:rsidP="00A35446">
      <w:pPr>
        <w:spacing w:after="0" w:line="240" w:lineRule="auto"/>
        <w:contextualSpacing/>
        <w:jc w:val="center"/>
        <w:rPr>
          <w:rFonts w:eastAsia="Calibri"/>
          <w:b/>
          <w:szCs w:val="24"/>
          <w:lang w:val="ru-RU" w:bidi="ar-SA"/>
        </w:rPr>
      </w:pPr>
    </w:p>
    <w:p w:rsidR="00A327F7" w:rsidRDefault="00A327F7" w:rsidP="00A35446">
      <w:pPr>
        <w:spacing w:after="0" w:line="240" w:lineRule="auto"/>
        <w:contextualSpacing/>
        <w:jc w:val="center"/>
        <w:rPr>
          <w:rFonts w:eastAsia="Calibri"/>
          <w:b/>
          <w:szCs w:val="24"/>
          <w:lang w:val="ru-RU" w:bidi="ar-SA"/>
        </w:rPr>
      </w:pPr>
    </w:p>
    <w:p w:rsidR="000357C8" w:rsidRPr="000357C8" w:rsidRDefault="007E238D" w:rsidP="00A35446">
      <w:pPr>
        <w:spacing w:after="0" w:line="240" w:lineRule="auto"/>
        <w:contextualSpacing/>
        <w:jc w:val="center"/>
        <w:rPr>
          <w:rFonts w:eastAsia="Calibri"/>
          <w:b/>
          <w:szCs w:val="24"/>
          <w:lang w:val="ru-RU" w:bidi="ar-SA"/>
        </w:rPr>
      </w:pPr>
      <w:r>
        <w:rPr>
          <w:rFonts w:eastAsia="Calibri"/>
          <w:b/>
          <w:szCs w:val="24"/>
          <w:lang w:val="ru-RU" w:bidi="ar-SA"/>
        </w:rPr>
        <w:t xml:space="preserve">ТЕХНИЧЕСКОЕ </w:t>
      </w:r>
      <w:r w:rsidR="000357C8" w:rsidRPr="000357C8">
        <w:rPr>
          <w:rFonts w:eastAsia="Calibri"/>
          <w:b/>
          <w:szCs w:val="24"/>
          <w:lang w:val="ru-RU" w:bidi="ar-SA"/>
        </w:rPr>
        <w:t>ЗАДАНИЕ</w:t>
      </w:r>
    </w:p>
    <w:p w:rsidR="000357C8" w:rsidRPr="00CE24A6" w:rsidRDefault="000357C8" w:rsidP="00A35446">
      <w:pPr>
        <w:spacing w:after="0" w:line="240" w:lineRule="auto"/>
        <w:contextualSpacing/>
        <w:jc w:val="center"/>
        <w:rPr>
          <w:rFonts w:eastAsia="Calibri"/>
          <w:szCs w:val="24"/>
          <w:lang w:val="ru-RU" w:bidi="ar-SA"/>
        </w:rPr>
      </w:pPr>
      <w:r w:rsidRPr="00CE24A6">
        <w:rPr>
          <w:rFonts w:eastAsia="Calibri"/>
          <w:szCs w:val="24"/>
          <w:lang w:val="ru-RU" w:bidi="ar-SA"/>
        </w:rPr>
        <w:t xml:space="preserve">на </w:t>
      </w:r>
      <w:r w:rsidR="00291FBA" w:rsidRPr="00CE24A6">
        <w:rPr>
          <w:rFonts w:eastAsia="Calibri"/>
          <w:szCs w:val="24"/>
          <w:lang w:val="ru-RU" w:bidi="ar-SA"/>
        </w:rPr>
        <w:t>оказа</w:t>
      </w:r>
      <w:r w:rsidR="00747062" w:rsidRPr="00CE24A6">
        <w:rPr>
          <w:rFonts w:eastAsia="Calibri"/>
          <w:szCs w:val="24"/>
          <w:lang w:val="ru-RU" w:bidi="ar-SA"/>
        </w:rPr>
        <w:t>ние</w:t>
      </w:r>
      <w:r w:rsidR="00291FBA" w:rsidRPr="00CE24A6">
        <w:rPr>
          <w:rFonts w:eastAsia="Calibri"/>
          <w:szCs w:val="24"/>
          <w:lang w:val="ru-RU" w:bidi="ar-SA"/>
        </w:rPr>
        <w:t xml:space="preserve"> услуг </w:t>
      </w:r>
      <w:r w:rsidR="00291FBA" w:rsidRPr="00CE24A6">
        <w:rPr>
          <w:rFonts w:eastAsia="Calibri"/>
          <w:bCs/>
          <w:szCs w:val="24"/>
          <w:lang w:val="ru-RU" w:bidi="ar-SA"/>
        </w:rPr>
        <w:t>по разработке и согласованию в Управлении Росприроднадзора 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ООО «СКС», а также описание задач, которые необходимо достичь посредством реализации Плана</w:t>
      </w:r>
    </w:p>
    <w:bookmarkEnd w:id="0"/>
    <w:bookmarkEnd w:id="1"/>
    <w:bookmarkEnd w:id="2"/>
    <w:bookmarkEnd w:id="3"/>
    <w:bookmarkEnd w:id="4"/>
    <w:bookmarkEnd w:id="5"/>
    <w:p w:rsidR="000357C8" w:rsidRPr="000357C8" w:rsidRDefault="000357C8" w:rsidP="00A35446">
      <w:pPr>
        <w:spacing w:after="0" w:line="240" w:lineRule="auto"/>
        <w:jc w:val="both"/>
        <w:rPr>
          <w:rFonts w:eastAsia="Calibri"/>
          <w:szCs w:val="24"/>
          <w:lang w:val="ru-RU" w:bidi="ar-SA"/>
        </w:rPr>
      </w:pPr>
    </w:p>
    <w:tbl>
      <w:tblPr>
        <w:tblStyle w:val="af4"/>
        <w:tblW w:w="9781" w:type="dxa"/>
        <w:jc w:val="center"/>
        <w:tblLook w:val="04A0" w:firstRow="1" w:lastRow="0" w:firstColumn="1" w:lastColumn="0" w:noHBand="0" w:noVBand="1"/>
      </w:tblPr>
      <w:tblGrid>
        <w:gridCol w:w="439"/>
        <w:gridCol w:w="1901"/>
        <w:gridCol w:w="7441"/>
      </w:tblGrid>
      <w:tr w:rsidR="002A1905" w:rsidRPr="00FF40E1" w:rsidTr="007E26C2">
        <w:trPr>
          <w:jc w:val="center"/>
        </w:trPr>
        <w:tc>
          <w:tcPr>
            <w:tcW w:w="439" w:type="dxa"/>
            <w:vAlign w:val="center"/>
          </w:tcPr>
          <w:p w:rsidR="002A1905" w:rsidRPr="00610794" w:rsidRDefault="002A1905" w:rsidP="007E26C2">
            <w:pPr>
              <w:jc w:val="center"/>
              <w:rPr>
                <w:sz w:val="22"/>
                <w:lang w:val="ru-RU"/>
              </w:rPr>
            </w:pPr>
            <w:r w:rsidRPr="00610794">
              <w:rPr>
                <w:sz w:val="22"/>
                <w:lang w:val="ru-RU"/>
              </w:rPr>
              <w:t>1</w:t>
            </w:r>
          </w:p>
        </w:tc>
        <w:tc>
          <w:tcPr>
            <w:tcW w:w="1901" w:type="dxa"/>
            <w:vAlign w:val="center"/>
          </w:tcPr>
          <w:p w:rsidR="002A1905" w:rsidRPr="00610794" w:rsidRDefault="00610794" w:rsidP="007E26C2">
            <w:pPr>
              <w:rPr>
                <w:i/>
                <w:sz w:val="22"/>
                <w:lang w:val="ru-RU"/>
              </w:rPr>
            </w:pPr>
            <w:r w:rsidRPr="00610794">
              <w:rPr>
                <w:i/>
                <w:sz w:val="22"/>
                <w:lang w:val="ru-RU"/>
              </w:rPr>
              <w:t>Цель оказания услуг</w:t>
            </w:r>
          </w:p>
        </w:tc>
        <w:tc>
          <w:tcPr>
            <w:tcW w:w="7441" w:type="dxa"/>
            <w:vAlign w:val="center"/>
          </w:tcPr>
          <w:p w:rsidR="00610794" w:rsidRPr="00ED03C6" w:rsidRDefault="00610794" w:rsidP="00610794">
            <w:pPr>
              <w:jc w:val="both"/>
              <w:rPr>
                <w:sz w:val="22"/>
                <w:lang w:val="ru-RU"/>
              </w:rPr>
            </w:pPr>
            <w:r w:rsidRPr="00ED03C6">
              <w:rPr>
                <w:sz w:val="22"/>
                <w:lang w:val="ru-RU"/>
              </w:rPr>
              <w:t>- </w:t>
            </w:r>
            <w:r w:rsidR="00ED03C6" w:rsidRPr="00ED03C6">
              <w:rPr>
                <w:sz w:val="22"/>
                <w:lang w:val="ru-RU"/>
              </w:rPr>
              <w:t>Р</w:t>
            </w:r>
            <w:r w:rsidRPr="00ED03C6">
              <w:rPr>
                <w:sz w:val="22"/>
                <w:lang w:val="ru-RU"/>
              </w:rPr>
              <w:t>еконструировать морально и технически устаревшие очистные сооружения/принять решение о несостоятельности варианта реконструкции существующих сооружений, ввиду малой проектной эффективности их работы;</w:t>
            </w:r>
          </w:p>
          <w:p w:rsidR="00610794" w:rsidRPr="00ED03C6" w:rsidRDefault="00610794" w:rsidP="00610794">
            <w:pPr>
              <w:jc w:val="both"/>
              <w:rPr>
                <w:sz w:val="22"/>
                <w:lang w:val="ru-RU"/>
              </w:rPr>
            </w:pPr>
            <w:r w:rsidRPr="00ED03C6">
              <w:rPr>
                <w:sz w:val="22"/>
                <w:lang w:val="ru-RU"/>
              </w:rPr>
              <w:t>- </w:t>
            </w:r>
            <w:r w:rsidR="00ED03C6" w:rsidRPr="00ED03C6">
              <w:rPr>
                <w:sz w:val="22"/>
                <w:lang w:val="ru-RU"/>
              </w:rPr>
              <w:t>Д</w:t>
            </w:r>
            <w:r w:rsidRPr="00ED03C6">
              <w:rPr>
                <w:sz w:val="22"/>
                <w:lang w:val="ru-RU"/>
              </w:rPr>
              <w:t>обиться снижения концентраций загрязняющих веществ, в составе сбрасываемых в водный объект сточных вод, до допустимых (нормативных) значений;</w:t>
            </w:r>
          </w:p>
          <w:p w:rsidR="002A1905" w:rsidRPr="00ED03C6" w:rsidRDefault="00610794" w:rsidP="00ED03C6">
            <w:pPr>
              <w:jc w:val="both"/>
              <w:rPr>
                <w:sz w:val="22"/>
                <w:lang w:val="ru-RU"/>
              </w:rPr>
            </w:pPr>
            <w:r w:rsidRPr="00ED03C6">
              <w:rPr>
                <w:sz w:val="22"/>
                <w:lang w:val="ru-RU"/>
              </w:rPr>
              <w:t xml:space="preserve">- </w:t>
            </w:r>
            <w:r w:rsidR="00ED03C6" w:rsidRPr="00ED03C6">
              <w:rPr>
                <w:sz w:val="22"/>
                <w:lang w:val="ru-RU"/>
              </w:rPr>
              <w:t>П</w:t>
            </w:r>
            <w:r w:rsidRPr="00ED03C6">
              <w:rPr>
                <w:sz w:val="22"/>
                <w:lang w:val="ru-RU"/>
              </w:rPr>
              <w:t>ри невозможности соблюдения нормативов допустимых сбросов (НДС), в период реализации плана, установить временно разрешенные сбросы, устанавливаемые для объектов централизованных систем водоотведения поселений или городских округов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tc>
      </w:tr>
      <w:tr w:rsidR="002A1905" w:rsidRPr="00FF40E1" w:rsidTr="007E26C2">
        <w:trPr>
          <w:jc w:val="center"/>
        </w:trPr>
        <w:tc>
          <w:tcPr>
            <w:tcW w:w="439" w:type="dxa"/>
            <w:vAlign w:val="center"/>
          </w:tcPr>
          <w:p w:rsidR="002A1905" w:rsidRPr="002A1905" w:rsidRDefault="002A1905" w:rsidP="007E26C2">
            <w:pPr>
              <w:jc w:val="center"/>
              <w:rPr>
                <w:sz w:val="22"/>
                <w:lang w:val="ru-RU"/>
              </w:rPr>
            </w:pPr>
            <w:r w:rsidRPr="002A1905">
              <w:rPr>
                <w:sz w:val="22"/>
                <w:lang w:val="ru-RU"/>
              </w:rPr>
              <w:t>2</w:t>
            </w:r>
          </w:p>
        </w:tc>
        <w:tc>
          <w:tcPr>
            <w:tcW w:w="1901" w:type="dxa"/>
            <w:vAlign w:val="center"/>
          </w:tcPr>
          <w:p w:rsidR="002A1905" w:rsidRPr="002A1905" w:rsidRDefault="002A1905" w:rsidP="007E26C2">
            <w:pPr>
              <w:rPr>
                <w:i/>
                <w:sz w:val="22"/>
                <w:lang w:val="ru-RU"/>
              </w:rPr>
            </w:pPr>
            <w:r w:rsidRPr="002A1905">
              <w:rPr>
                <w:i/>
                <w:sz w:val="22"/>
                <w:lang w:val="ru-RU"/>
              </w:rPr>
              <w:t>Заказчик</w:t>
            </w:r>
          </w:p>
        </w:tc>
        <w:tc>
          <w:tcPr>
            <w:tcW w:w="7441" w:type="dxa"/>
            <w:vAlign w:val="center"/>
          </w:tcPr>
          <w:p w:rsidR="002A1905" w:rsidRPr="002A1905" w:rsidRDefault="002A1905" w:rsidP="007E26C2">
            <w:pPr>
              <w:rPr>
                <w:sz w:val="22"/>
                <w:lang w:val="ru-RU"/>
              </w:rPr>
            </w:pPr>
            <w:r w:rsidRPr="002A1905">
              <w:rPr>
                <w:rFonts w:eastAsia="Times New Roman"/>
                <w:sz w:val="22"/>
                <w:lang w:val="ru-RU" w:eastAsia="ar-SA"/>
              </w:rPr>
              <w:t>Общество с ограниченной ответственностью «Саяногорские коммунальные системы» (ООО «СКС»)</w:t>
            </w:r>
          </w:p>
        </w:tc>
      </w:tr>
      <w:tr w:rsidR="002A1905" w:rsidRPr="00FF40E1" w:rsidTr="007E26C2">
        <w:trPr>
          <w:jc w:val="center"/>
        </w:trPr>
        <w:tc>
          <w:tcPr>
            <w:tcW w:w="439" w:type="dxa"/>
            <w:vAlign w:val="center"/>
          </w:tcPr>
          <w:p w:rsidR="002A1905" w:rsidRPr="00BA46CC" w:rsidRDefault="002A1905" w:rsidP="007E26C2">
            <w:pPr>
              <w:jc w:val="center"/>
              <w:rPr>
                <w:sz w:val="22"/>
                <w:lang w:val="ru-RU"/>
              </w:rPr>
            </w:pPr>
            <w:r w:rsidRPr="00BA46CC">
              <w:rPr>
                <w:sz w:val="22"/>
                <w:lang w:val="ru-RU"/>
              </w:rPr>
              <w:t>3</w:t>
            </w:r>
          </w:p>
        </w:tc>
        <w:tc>
          <w:tcPr>
            <w:tcW w:w="1901" w:type="dxa"/>
            <w:vAlign w:val="center"/>
          </w:tcPr>
          <w:p w:rsidR="002A1905" w:rsidRPr="00BA46CC" w:rsidRDefault="002A1905" w:rsidP="007E26C2">
            <w:pPr>
              <w:rPr>
                <w:i/>
                <w:sz w:val="22"/>
                <w:lang w:val="ru-RU"/>
              </w:rPr>
            </w:pPr>
            <w:r w:rsidRPr="00BA46CC">
              <w:rPr>
                <w:i/>
                <w:sz w:val="22"/>
                <w:lang w:val="ru-RU"/>
              </w:rPr>
              <w:t>Исполнитель</w:t>
            </w:r>
          </w:p>
        </w:tc>
        <w:tc>
          <w:tcPr>
            <w:tcW w:w="7441" w:type="dxa"/>
            <w:vAlign w:val="center"/>
          </w:tcPr>
          <w:p w:rsidR="002A1905" w:rsidRPr="00BA46CC" w:rsidRDefault="002A1905" w:rsidP="00E62D73">
            <w:pPr>
              <w:rPr>
                <w:rFonts w:eastAsia="Times New Roman"/>
                <w:sz w:val="22"/>
                <w:lang w:val="ru-RU" w:eastAsia="ar-SA"/>
              </w:rPr>
            </w:pPr>
            <w:r w:rsidRPr="00BA46CC">
              <w:rPr>
                <w:rFonts w:eastAsia="Times New Roman"/>
                <w:sz w:val="22"/>
                <w:lang w:val="ru-RU" w:eastAsia="ar-SA"/>
              </w:rPr>
              <w:t xml:space="preserve">Определяется по результатам </w:t>
            </w:r>
            <w:r w:rsidR="00E62D73">
              <w:rPr>
                <w:rFonts w:eastAsia="Times New Roman"/>
                <w:sz w:val="22"/>
                <w:lang w:val="ru-RU" w:eastAsia="ar-SA"/>
              </w:rPr>
              <w:t>проведения закупки</w:t>
            </w:r>
          </w:p>
        </w:tc>
      </w:tr>
      <w:tr w:rsidR="002A1905" w:rsidRPr="00FF40E1" w:rsidTr="007E26C2">
        <w:trPr>
          <w:jc w:val="center"/>
        </w:trPr>
        <w:tc>
          <w:tcPr>
            <w:tcW w:w="439" w:type="dxa"/>
            <w:vAlign w:val="center"/>
          </w:tcPr>
          <w:p w:rsidR="002A1905" w:rsidRPr="00B94A74" w:rsidRDefault="002A1905" w:rsidP="007E26C2">
            <w:pPr>
              <w:jc w:val="center"/>
              <w:rPr>
                <w:sz w:val="22"/>
                <w:lang w:val="ru-RU"/>
              </w:rPr>
            </w:pPr>
            <w:r w:rsidRPr="00B94A74">
              <w:rPr>
                <w:sz w:val="22"/>
                <w:lang w:val="ru-RU"/>
              </w:rPr>
              <w:t>4</w:t>
            </w:r>
          </w:p>
        </w:tc>
        <w:tc>
          <w:tcPr>
            <w:tcW w:w="1901" w:type="dxa"/>
            <w:vAlign w:val="center"/>
          </w:tcPr>
          <w:p w:rsidR="002A1905" w:rsidRPr="00B94A74" w:rsidRDefault="002A1905" w:rsidP="007E26C2">
            <w:pPr>
              <w:rPr>
                <w:i/>
                <w:sz w:val="22"/>
                <w:lang w:val="ru-RU"/>
              </w:rPr>
            </w:pPr>
            <w:r w:rsidRPr="00B94A74">
              <w:rPr>
                <w:i/>
                <w:sz w:val="22"/>
                <w:lang w:val="ru-RU"/>
              </w:rPr>
              <w:t>Основные требования к исполнителю</w:t>
            </w:r>
          </w:p>
        </w:tc>
        <w:tc>
          <w:tcPr>
            <w:tcW w:w="7441" w:type="dxa"/>
            <w:vAlign w:val="center"/>
          </w:tcPr>
          <w:p w:rsidR="002A1905" w:rsidRPr="00B94A74" w:rsidRDefault="002A1905" w:rsidP="007E26C2">
            <w:pPr>
              <w:jc w:val="both"/>
              <w:rPr>
                <w:sz w:val="22"/>
                <w:lang w:val="ru-RU"/>
              </w:rPr>
            </w:pPr>
            <w:r w:rsidRPr="00B94A74">
              <w:rPr>
                <w:sz w:val="22"/>
                <w:lang w:val="ru-RU"/>
              </w:rPr>
              <w:t>Исполнитель должен иметь:</w:t>
            </w:r>
          </w:p>
          <w:p w:rsidR="002A1905" w:rsidRPr="00B94A74" w:rsidRDefault="002A1905" w:rsidP="007E26C2">
            <w:pPr>
              <w:jc w:val="both"/>
              <w:rPr>
                <w:sz w:val="22"/>
                <w:lang w:val="ru-RU"/>
              </w:rPr>
            </w:pPr>
            <w:r w:rsidRPr="00B94A74">
              <w:rPr>
                <w:sz w:val="22"/>
                <w:lang w:val="ru-RU"/>
              </w:rPr>
              <w:t xml:space="preserve">– опыт в оказании данного вида услуг не менее </w:t>
            </w:r>
            <w:r w:rsidR="00815F62">
              <w:rPr>
                <w:sz w:val="22"/>
                <w:lang w:val="ru-RU"/>
              </w:rPr>
              <w:t>1</w:t>
            </w:r>
            <w:r w:rsidRPr="00B94A74">
              <w:rPr>
                <w:sz w:val="22"/>
                <w:lang w:val="ru-RU"/>
              </w:rPr>
              <w:t xml:space="preserve"> подобн</w:t>
            </w:r>
            <w:r w:rsidR="00815F62">
              <w:rPr>
                <w:sz w:val="22"/>
                <w:lang w:val="ru-RU"/>
              </w:rPr>
              <w:t>ой</w:t>
            </w:r>
            <w:r w:rsidRPr="00B94A74">
              <w:rPr>
                <w:sz w:val="22"/>
                <w:lang w:val="ru-RU"/>
              </w:rPr>
              <w:t xml:space="preserve"> работ</w:t>
            </w:r>
            <w:r w:rsidR="00815F62">
              <w:rPr>
                <w:sz w:val="22"/>
                <w:lang w:val="ru-RU"/>
              </w:rPr>
              <w:t>ы</w:t>
            </w:r>
            <w:r w:rsidRPr="00B94A74">
              <w:rPr>
                <w:sz w:val="22"/>
                <w:lang w:val="ru-RU"/>
              </w:rPr>
              <w:t xml:space="preserve"> за последние 3 года;</w:t>
            </w:r>
          </w:p>
          <w:p w:rsidR="002A1905" w:rsidRPr="00B94A74" w:rsidRDefault="002A1905" w:rsidP="007E26C2">
            <w:pPr>
              <w:jc w:val="both"/>
              <w:rPr>
                <w:rFonts w:eastAsia="Times New Roman"/>
                <w:sz w:val="22"/>
                <w:lang w:val="ru-RU" w:eastAsia="ar-SA"/>
              </w:rPr>
            </w:pPr>
            <w:r w:rsidRPr="00B94A74">
              <w:rPr>
                <w:rFonts w:eastAsia="Times New Roman"/>
                <w:sz w:val="22"/>
                <w:lang w:val="ru-RU" w:eastAsia="ar-SA"/>
              </w:rPr>
              <w:t>– квалифицированные кадры;</w:t>
            </w:r>
          </w:p>
          <w:p w:rsidR="002A1905" w:rsidRPr="00B94A74" w:rsidRDefault="002A1905" w:rsidP="007E26C2">
            <w:pPr>
              <w:jc w:val="both"/>
              <w:rPr>
                <w:rFonts w:eastAsia="Times New Roman"/>
                <w:sz w:val="22"/>
                <w:lang w:val="ru-RU" w:eastAsia="ar-SA"/>
              </w:rPr>
            </w:pPr>
            <w:r w:rsidRPr="00B94A74">
              <w:rPr>
                <w:rFonts w:eastAsia="Times New Roman"/>
                <w:sz w:val="22"/>
                <w:lang w:val="ru-RU" w:eastAsia="ar-SA"/>
              </w:rPr>
              <w:t>– собственную материально-техническую базу для оказания услуг по существу технического задания</w:t>
            </w:r>
          </w:p>
        </w:tc>
      </w:tr>
      <w:tr w:rsidR="00FF40E1" w:rsidRPr="00FF40E1" w:rsidTr="007E26C2">
        <w:trPr>
          <w:jc w:val="center"/>
        </w:trPr>
        <w:tc>
          <w:tcPr>
            <w:tcW w:w="439" w:type="dxa"/>
            <w:vAlign w:val="center"/>
          </w:tcPr>
          <w:p w:rsidR="00FF40E1" w:rsidRPr="00DF5887" w:rsidRDefault="00FF40E1" w:rsidP="00FF40E1">
            <w:pPr>
              <w:jc w:val="center"/>
              <w:rPr>
                <w:sz w:val="22"/>
                <w:lang w:val="ru-RU"/>
              </w:rPr>
            </w:pPr>
            <w:r w:rsidRPr="00DF5887">
              <w:rPr>
                <w:sz w:val="22"/>
                <w:lang w:val="ru-RU"/>
              </w:rPr>
              <w:t>5</w:t>
            </w:r>
          </w:p>
        </w:tc>
        <w:tc>
          <w:tcPr>
            <w:tcW w:w="1901" w:type="dxa"/>
            <w:vAlign w:val="center"/>
          </w:tcPr>
          <w:p w:rsidR="00FF40E1" w:rsidRPr="00DF5887" w:rsidRDefault="00FF40E1" w:rsidP="00FF40E1">
            <w:pPr>
              <w:rPr>
                <w:i/>
                <w:sz w:val="22"/>
                <w:lang w:val="ru-RU"/>
              </w:rPr>
            </w:pPr>
            <w:r w:rsidRPr="00DF5887">
              <w:rPr>
                <w:i/>
                <w:sz w:val="22"/>
                <w:lang w:val="ru-RU"/>
              </w:rPr>
              <w:t>Срок предоставления услуг</w:t>
            </w:r>
          </w:p>
        </w:tc>
        <w:tc>
          <w:tcPr>
            <w:tcW w:w="7441" w:type="dxa"/>
            <w:vAlign w:val="center"/>
          </w:tcPr>
          <w:p w:rsidR="00FF40E1" w:rsidRPr="00DF5887" w:rsidRDefault="00FF40E1" w:rsidP="00FF40E1">
            <w:pPr>
              <w:pStyle w:val="ab"/>
              <w:tabs>
                <w:tab w:val="left" w:pos="232"/>
              </w:tabs>
              <w:ind w:left="0"/>
              <w:jc w:val="both"/>
              <w:rPr>
                <w:sz w:val="22"/>
                <w:lang w:val="ru-RU"/>
              </w:rPr>
            </w:pPr>
          </w:p>
          <w:p w:rsidR="00FF40E1" w:rsidRPr="00DF5887" w:rsidRDefault="00FF40E1" w:rsidP="00FF40E1">
            <w:pPr>
              <w:pStyle w:val="ab"/>
              <w:numPr>
                <w:ilvl w:val="0"/>
                <w:numId w:val="20"/>
              </w:numPr>
              <w:tabs>
                <w:tab w:val="left" w:pos="0"/>
                <w:tab w:val="left" w:pos="442"/>
              </w:tabs>
              <w:ind w:left="0" w:firstLine="43"/>
              <w:jc w:val="both"/>
              <w:rPr>
                <w:sz w:val="22"/>
                <w:lang w:val="ru-RU"/>
              </w:rPr>
            </w:pPr>
            <w:r w:rsidRPr="00DF5887">
              <w:rPr>
                <w:sz w:val="22"/>
                <w:lang w:val="ru-RU"/>
              </w:rPr>
              <w:t>Разработка и согласование с Управлением Росприроднадзора «</w:t>
            </w:r>
            <w:r w:rsidRPr="00DF5887">
              <w:rPr>
                <w:bCs/>
                <w:sz w:val="22"/>
                <w:lang w:val="ru-RU"/>
              </w:rPr>
              <w:t xml:space="preserve">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r w:rsidRPr="00DF5887">
              <w:rPr>
                <w:sz w:val="22"/>
                <w:lang w:val="ru-RU"/>
              </w:rPr>
              <w:t>г. Саяногорска:</w:t>
            </w:r>
          </w:p>
          <w:p w:rsidR="00FF40E1" w:rsidRDefault="00FF40E1" w:rsidP="00FF40E1">
            <w:pPr>
              <w:pStyle w:val="ab"/>
              <w:tabs>
                <w:tab w:val="left" w:pos="0"/>
                <w:tab w:val="left" w:pos="442"/>
              </w:tabs>
              <w:ind w:left="43"/>
              <w:jc w:val="both"/>
              <w:rPr>
                <w:sz w:val="22"/>
                <w:lang w:val="ru-RU"/>
              </w:rPr>
            </w:pPr>
            <w:r w:rsidRPr="00DF5887">
              <w:rPr>
                <w:sz w:val="22"/>
                <w:lang w:val="ru-RU"/>
              </w:rPr>
              <w:t>срок оказания услуг с момента подписания договора по 01.04.2022г.</w:t>
            </w:r>
          </w:p>
          <w:p w:rsidR="00FF40E1" w:rsidRPr="00DF5887" w:rsidRDefault="00FF40E1" w:rsidP="00FF40E1">
            <w:pPr>
              <w:pStyle w:val="ab"/>
              <w:tabs>
                <w:tab w:val="left" w:pos="0"/>
                <w:tab w:val="left" w:pos="442"/>
              </w:tabs>
              <w:ind w:left="43"/>
              <w:jc w:val="both"/>
              <w:rPr>
                <w:sz w:val="22"/>
                <w:lang w:val="ru-RU"/>
              </w:rPr>
            </w:pPr>
          </w:p>
          <w:p w:rsidR="00FF40E1" w:rsidRPr="00DF5887" w:rsidRDefault="00FF40E1" w:rsidP="00FF40E1">
            <w:pPr>
              <w:pStyle w:val="ab"/>
              <w:numPr>
                <w:ilvl w:val="0"/>
                <w:numId w:val="20"/>
              </w:numPr>
              <w:tabs>
                <w:tab w:val="left" w:pos="0"/>
                <w:tab w:val="left" w:pos="442"/>
              </w:tabs>
              <w:ind w:left="0" w:firstLine="43"/>
              <w:jc w:val="both"/>
              <w:rPr>
                <w:sz w:val="22"/>
                <w:lang w:val="ru-RU"/>
              </w:rPr>
            </w:pPr>
            <w:r w:rsidRPr="00DF5887">
              <w:rPr>
                <w:sz w:val="22"/>
                <w:lang w:val="ru-RU"/>
              </w:rPr>
              <w:t xml:space="preserve">Разработка и согласование с Управлением Росприроднадзора «Плана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proofErr w:type="spellStart"/>
            <w:r w:rsidRPr="00DF5887">
              <w:rPr>
                <w:sz w:val="22"/>
                <w:lang w:val="ru-RU"/>
              </w:rPr>
              <w:t>рп</w:t>
            </w:r>
            <w:proofErr w:type="spellEnd"/>
            <w:r w:rsidRPr="00DF5887">
              <w:rPr>
                <w:sz w:val="22"/>
                <w:lang w:val="ru-RU"/>
              </w:rPr>
              <w:t>. Черемушки:</w:t>
            </w:r>
          </w:p>
          <w:p w:rsidR="00FF40E1" w:rsidRDefault="00FF40E1" w:rsidP="00FF40E1">
            <w:pPr>
              <w:pStyle w:val="ab"/>
              <w:tabs>
                <w:tab w:val="left" w:pos="0"/>
                <w:tab w:val="left" w:pos="442"/>
              </w:tabs>
              <w:ind w:left="43"/>
              <w:jc w:val="both"/>
              <w:rPr>
                <w:sz w:val="22"/>
                <w:lang w:val="ru-RU"/>
              </w:rPr>
            </w:pPr>
            <w:r w:rsidRPr="00DF5887">
              <w:rPr>
                <w:sz w:val="22"/>
                <w:lang w:val="ru-RU"/>
              </w:rPr>
              <w:t>срок оказания услуг с момента подписания договора по 01.04.2022г</w:t>
            </w:r>
            <w:r>
              <w:rPr>
                <w:sz w:val="22"/>
                <w:lang w:val="ru-RU"/>
              </w:rPr>
              <w:t>.</w:t>
            </w:r>
          </w:p>
          <w:p w:rsidR="00FF40E1" w:rsidRPr="00DF5887" w:rsidRDefault="00FF40E1" w:rsidP="00FF40E1">
            <w:pPr>
              <w:pStyle w:val="ab"/>
              <w:tabs>
                <w:tab w:val="left" w:pos="0"/>
                <w:tab w:val="left" w:pos="442"/>
              </w:tabs>
              <w:ind w:left="43"/>
              <w:jc w:val="both"/>
              <w:rPr>
                <w:sz w:val="22"/>
                <w:lang w:val="ru-RU"/>
              </w:rPr>
            </w:pPr>
          </w:p>
          <w:p w:rsidR="00FF40E1" w:rsidRPr="00DF5887" w:rsidRDefault="00FF40E1" w:rsidP="00FF40E1">
            <w:pPr>
              <w:pStyle w:val="ab"/>
              <w:numPr>
                <w:ilvl w:val="0"/>
                <w:numId w:val="20"/>
              </w:numPr>
              <w:tabs>
                <w:tab w:val="left" w:pos="0"/>
                <w:tab w:val="left" w:pos="442"/>
              </w:tabs>
              <w:ind w:left="0" w:firstLine="43"/>
              <w:jc w:val="both"/>
              <w:rPr>
                <w:sz w:val="22"/>
                <w:lang w:val="ru-RU"/>
              </w:rPr>
            </w:pPr>
            <w:r w:rsidRPr="00DF5887">
              <w:rPr>
                <w:sz w:val="22"/>
                <w:lang w:val="ru-RU"/>
              </w:rPr>
              <w:t xml:space="preserve">Разработка и согласование с Управлением Росприроднадзора «Плана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proofErr w:type="spellStart"/>
            <w:r>
              <w:rPr>
                <w:sz w:val="22"/>
                <w:lang w:val="ru-RU"/>
              </w:rPr>
              <w:t>рп</w:t>
            </w:r>
            <w:proofErr w:type="spellEnd"/>
            <w:r w:rsidRPr="00DF5887">
              <w:rPr>
                <w:sz w:val="22"/>
                <w:lang w:val="ru-RU"/>
              </w:rPr>
              <w:t xml:space="preserve">. </w:t>
            </w:r>
            <w:r>
              <w:rPr>
                <w:sz w:val="22"/>
                <w:lang w:val="ru-RU"/>
              </w:rPr>
              <w:t>Майна</w:t>
            </w:r>
            <w:r w:rsidRPr="00DF5887">
              <w:rPr>
                <w:sz w:val="22"/>
                <w:lang w:val="ru-RU"/>
              </w:rPr>
              <w:t>:</w:t>
            </w:r>
          </w:p>
          <w:p w:rsidR="00FF40E1" w:rsidRPr="00DF5887" w:rsidRDefault="00FF40E1" w:rsidP="00FF40E1">
            <w:pPr>
              <w:pStyle w:val="ab"/>
              <w:tabs>
                <w:tab w:val="left" w:pos="0"/>
                <w:tab w:val="left" w:pos="442"/>
              </w:tabs>
              <w:ind w:left="43"/>
              <w:jc w:val="both"/>
              <w:rPr>
                <w:sz w:val="22"/>
                <w:lang w:val="ru-RU"/>
              </w:rPr>
            </w:pPr>
            <w:r w:rsidRPr="00DF5887">
              <w:rPr>
                <w:sz w:val="22"/>
                <w:lang w:val="ru-RU"/>
              </w:rPr>
              <w:t>срок оказания услуг с момента подписания договора по 01.04.2022г</w:t>
            </w:r>
            <w:r>
              <w:rPr>
                <w:sz w:val="22"/>
                <w:lang w:val="ru-RU"/>
              </w:rPr>
              <w:t>.</w:t>
            </w:r>
          </w:p>
        </w:tc>
      </w:tr>
      <w:tr w:rsidR="00FD2FBB" w:rsidRPr="00FF40E1" w:rsidTr="007E26C2">
        <w:trPr>
          <w:jc w:val="center"/>
        </w:trPr>
        <w:tc>
          <w:tcPr>
            <w:tcW w:w="439" w:type="dxa"/>
            <w:vAlign w:val="center"/>
          </w:tcPr>
          <w:p w:rsidR="00FD2FBB" w:rsidRPr="00DF5887" w:rsidRDefault="00FD2FBB" w:rsidP="007E26C2">
            <w:pPr>
              <w:jc w:val="center"/>
              <w:rPr>
                <w:sz w:val="22"/>
                <w:lang w:val="ru-RU"/>
              </w:rPr>
            </w:pPr>
            <w:r>
              <w:rPr>
                <w:sz w:val="22"/>
                <w:lang w:val="ru-RU"/>
              </w:rPr>
              <w:t>6</w:t>
            </w:r>
          </w:p>
        </w:tc>
        <w:tc>
          <w:tcPr>
            <w:tcW w:w="1901" w:type="dxa"/>
            <w:vAlign w:val="center"/>
          </w:tcPr>
          <w:p w:rsidR="00FD2FBB" w:rsidRPr="00DF5887" w:rsidRDefault="00FD2FBB" w:rsidP="007E26C2">
            <w:pPr>
              <w:rPr>
                <w:i/>
                <w:sz w:val="22"/>
                <w:lang w:val="ru-RU"/>
              </w:rPr>
            </w:pPr>
            <w:r>
              <w:rPr>
                <w:i/>
                <w:sz w:val="22"/>
                <w:lang w:val="ru-RU"/>
              </w:rPr>
              <w:t>Сведения о КОС</w:t>
            </w:r>
          </w:p>
        </w:tc>
        <w:tc>
          <w:tcPr>
            <w:tcW w:w="7441" w:type="dxa"/>
            <w:vAlign w:val="center"/>
          </w:tcPr>
          <w:p w:rsidR="00F628D9" w:rsidRDefault="00203026" w:rsidP="00EB0AF6">
            <w:pPr>
              <w:pStyle w:val="ab"/>
              <w:numPr>
                <w:ilvl w:val="0"/>
                <w:numId w:val="21"/>
              </w:numPr>
              <w:tabs>
                <w:tab w:val="left" w:pos="232"/>
              </w:tabs>
              <w:ind w:left="0" w:firstLine="382"/>
              <w:rPr>
                <w:sz w:val="22"/>
                <w:lang w:val="ru-RU"/>
              </w:rPr>
            </w:pPr>
            <w:r w:rsidRPr="000A621F">
              <w:rPr>
                <w:sz w:val="22"/>
                <w:lang w:val="ru-RU"/>
              </w:rPr>
              <w:t>Комплекс очистных сооружений г. Саяногорска, по адресу</w:t>
            </w:r>
            <w:r w:rsidRPr="000A621F">
              <w:rPr>
                <w:rFonts w:eastAsia="Times New Roman"/>
                <w:color w:val="000000"/>
                <w:sz w:val="22"/>
                <w:lang w:val="ru-RU" w:eastAsia="ru-RU" w:bidi="ar-SA"/>
              </w:rPr>
              <w:t xml:space="preserve"> </w:t>
            </w:r>
            <w:r w:rsidRPr="000A621F">
              <w:rPr>
                <w:sz w:val="22"/>
                <w:lang w:val="ru-RU"/>
              </w:rPr>
              <w:t>Республика Хакасия, г. Саяногорск, 8-ой км. Автодороги «магистраль Саяногорск-Абакан», район пересечения с автодорогой «магистраль Бея-</w:t>
            </w:r>
            <w:proofErr w:type="spellStart"/>
            <w:r w:rsidRPr="000A621F">
              <w:rPr>
                <w:sz w:val="22"/>
                <w:lang w:val="ru-RU"/>
              </w:rPr>
              <w:t>Новоенисейка</w:t>
            </w:r>
            <w:proofErr w:type="spellEnd"/>
            <w:r w:rsidRPr="000A621F">
              <w:rPr>
                <w:sz w:val="22"/>
                <w:lang w:val="ru-RU"/>
              </w:rPr>
              <w:t>»</w:t>
            </w:r>
          </w:p>
          <w:p w:rsidR="00F628D9" w:rsidRDefault="00F628D9" w:rsidP="00EB0AF6">
            <w:pPr>
              <w:tabs>
                <w:tab w:val="left" w:pos="232"/>
              </w:tabs>
              <w:rPr>
                <w:sz w:val="22"/>
                <w:lang w:val="ru-RU"/>
              </w:rPr>
            </w:pPr>
            <w:r w:rsidRPr="00F628D9">
              <w:rPr>
                <w:sz w:val="22"/>
                <w:lang w:val="ru-RU"/>
              </w:rPr>
              <w:t>Проектная производительность</w:t>
            </w:r>
            <w:r>
              <w:rPr>
                <w:sz w:val="22"/>
                <w:lang w:val="ru-RU"/>
              </w:rPr>
              <w:t xml:space="preserve"> </w:t>
            </w:r>
            <w:r w:rsidRPr="00F628D9">
              <w:rPr>
                <w:sz w:val="22"/>
                <w:lang w:val="ru-RU"/>
              </w:rPr>
              <w:t>27 200 куб. м /сутки</w:t>
            </w:r>
            <w:r>
              <w:rPr>
                <w:sz w:val="22"/>
                <w:lang w:val="ru-RU"/>
              </w:rPr>
              <w:t>;</w:t>
            </w:r>
          </w:p>
          <w:p w:rsidR="00F628D9" w:rsidRDefault="00F628D9" w:rsidP="00EB0AF6">
            <w:pPr>
              <w:tabs>
                <w:tab w:val="left" w:pos="232"/>
              </w:tabs>
              <w:rPr>
                <w:sz w:val="22"/>
                <w:lang w:val="ru-RU"/>
              </w:rPr>
            </w:pPr>
            <w:r w:rsidRPr="00F628D9">
              <w:rPr>
                <w:sz w:val="22"/>
                <w:lang w:val="ru-RU"/>
              </w:rPr>
              <w:t>Фактическая производительность</w:t>
            </w:r>
            <w:r>
              <w:rPr>
                <w:sz w:val="22"/>
                <w:lang w:val="ru-RU"/>
              </w:rPr>
              <w:t xml:space="preserve"> </w:t>
            </w:r>
            <w:r w:rsidRPr="00F628D9">
              <w:rPr>
                <w:sz w:val="22"/>
                <w:lang w:val="ru-RU"/>
              </w:rPr>
              <w:t>15 000 куб. м /сутки</w:t>
            </w:r>
            <w:r w:rsidR="00945CCE">
              <w:rPr>
                <w:sz w:val="22"/>
                <w:lang w:val="ru-RU"/>
              </w:rPr>
              <w:t>.</w:t>
            </w:r>
          </w:p>
          <w:p w:rsidR="00E572F6" w:rsidRDefault="00203026" w:rsidP="00EB0AF6">
            <w:pPr>
              <w:pStyle w:val="ab"/>
              <w:numPr>
                <w:ilvl w:val="0"/>
                <w:numId w:val="21"/>
              </w:numPr>
              <w:tabs>
                <w:tab w:val="left" w:pos="232"/>
              </w:tabs>
              <w:ind w:left="0" w:firstLine="382"/>
              <w:rPr>
                <w:sz w:val="22"/>
                <w:lang w:val="ru-RU"/>
              </w:rPr>
            </w:pPr>
            <w:r w:rsidRPr="000A621F">
              <w:rPr>
                <w:sz w:val="22"/>
                <w:lang w:val="ru-RU"/>
              </w:rPr>
              <w:t xml:space="preserve">Комплекс очистных сооружений </w:t>
            </w:r>
            <w:proofErr w:type="spellStart"/>
            <w:r w:rsidRPr="000A621F">
              <w:rPr>
                <w:sz w:val="22"/>
                <w:lang w:val="ru-RU"/>
              </w:rPr>
              <w:t>рп</w:t>
            </w:r>
            <w:proofErr w:type="spellEnd"/>
            <w:r w:rsidRPr="000A621F">
              <w:rPr>
                <w:sz w:val="22"/>
                <w:lang w:val="ru-RU"/>
              </w:rPr>
              <w:t xml:space="preserve">. </w:t>
            </w:r>
            <w:r w:rsidR="00FD2FBB" w:rsidRPr="000A621F">
              <w:rPr>
                <w:sz w:val="22"/>
                <w:lang w:val="ru-RU"/>
              </w:rPr>
              <w:t>Черемушки</w:t>
            </w:r>
            <w:r w:rsidRPr="000A621F">
              <w:rPr>
                <w:sz w:val="22"/>
                <w:lang w:val="ru-RU"/>
              </w:rPr>
              <w:t xml:space="preserve">, по адресу Республика Хакасия, г. Саяногорск, </w:t>
            </w:r>
            <w:proofErr w:type="spellStart"/>
            <w:r w:rsidRPr="000A621F">
              <w:rPr>
                <w:sz w:val="22"/>
                <w:lang w:val="ru-RU"/>
              </w:rPr>
              <w:t>рп</w:t>
            </w:r>
            <w:proofErr w:type="spellEnd"/>
            <w:r w:rsidRPr="000A621F">
              <w:rPr>
                <w:sz w:val="22"/>
                <w:lang w:val="ru-RU"/>
              </w:rPr>
              <w:t>. Чер</w:t>
            </w:r>
            <w:r w:rsidR="000A621F" w:rsidRPr="000A621F">
              <w:rPr>
                <w:sz w:val="22"/>
                <w:lang w:val="ru-RU"/>
              </w:rPr>
              <w:t>е</w:t>
            </w:r>
            <w:r w:rsidRPr="000A621F">
              <w:rPr>
                <w:sz w:val="22"/>
                <w:lang w:val="ru-RU"/>
              </w:rPr>
              <w:t xml:space="preserve">мушки, 92 </w:t>
            </w:r>
          </w:p>
          <w:p w:rsidR="00E572F6" w:rsidRDefault="00E572F6" w:rsidP="00EB0AF6">
            <w:pPr>
              <w:tabs>
                <w:tab w:val="left" w:pos="232"/>
              </w:tabs>
              <w:rPr>
                <w:sz w:val="22"/>
                <w:lang w:val="ru-RU"/>
              </w:rPr>
            </w:pPr>
            <w:r w:rsidRPr="00E572F6">
              <w:rPr>
                <w:sz w:val="22"/>
                <w:lang w:val="ru-RU"/>
              </w:rPr>
              <w:t>Проектная производительность</w:t>
            </w:r>
            <w:r>
              <w:rPr>
                <w:sz w:val="22"/>
                <w:lang w:val="ru-RU"/>
              </w:rPr>
              <w:t xml:space="preserve"> </w:t>
            </w:r>
            <w:r w:rsidRPr="00E572F6">
              <w:rPr>
                <w:sz w:val="22"/>
                <w:lang w:val="ru-RU"/>
              </w:rPr>
              <w:t>6 600 куб. м /сутки</w:t>
            </w:r>
            <w:r>
              <w:rPr>
                <w:sz w:val="22"/>
                <w:lang w:val="ru-RU"/>
              </w:rPr>
              <w:t>;</w:t>
            </w:r>
          </w:p>
          <w:p w:rsidR="00E572F6" w:rsidRPr="00E572F6" w:rsidRDefault="00E572F6" w:rsidP="00EB0AF6">
            <w:pPr>
              <w:tabs>
                <w:tab w:val="left" w:pos="232"/>
              </w:tabs>
              <w:rPr>
                <w:sz w:val="22"/>
                <w:lang w:val="ru-RU"/>
              </w:rPr>
            </w:pPr>
            <w:r w:rsidRPr="00E572F6">
              <w:rPr>
                <w:sz w:val="22"/>
                <w:lang w:val="ru-RU"/>
              </w:rPr>
              <w:t>Фактическая производительность</w:t>
            </w:r>
            <w:r>
              <w:rPr>
                <w:sz w:val="22"/>
                <w:lang w:val="ru-RU"/>
              </w:rPr>
              <w:t xml:space="preserve"> </w:t>
            </w:r>
            <w:r w:rsidRPr="00E572F6">
              <w:rPr>
                <w:sz w:val="22"/>
                <w:lang w:val="ru-RU"/>
              </w:rPr>
              <w:t>2 400 куб. м /сутки</w:t>
            </w:r>
            <w:r>
              <w:rPr>
                <w:sz w:val="22"/>
                <w:lang w:val="ru-RU"/>
              </w:rPr>
              <w:t>.</w:t>
            </w:r>
          </w:p>
          <w:p w:rsidR="00203026" w:rsidRDefault="00203026" w:rsidP="00EB0AF6">
            <w:pPr>
              <w:pStyle w:val="ab"/>
              <w:numPr>
                <w:ilvl w:val="0"/>
                <w:numId w:val="21"/>
              </w:numPr>
              <w:tabs>
                <w:tab w:val="left" w:pos="232"/>
              </w:tabs>
              <w:ind w:left="0" w:firstLine="382"/>
              <w:rPr>
                <w:sz w:val="22"/>
                <w:lang w:val="ru-RU"/>
              </w:rPr>
            </w:pPr>
            <w:r w:rsidRPr="000A621F">
              <w:rPr>
                <w:sz w:val="22"/>
                <w:lang w:val="ru-RU"/>
              </w:rPr>
              <w:t xml:space="preserve">Комплекс очистных сооружений </w:t>
            </w:r>
            <w:proofErr w:type="spellStart"/>
            <w:r w:rsidRPr="000A621F">
              <w:rPr>
                <w:sz w:val="22"/>
                <w:lang w:val="ru-RU"/>
              </w:rPr>
              <w:t>рп</w:t>
            </w:r>
            <w:proofErr w:type="spellEnd"/>
            <w:r w:rsidR="00980ACC">
              <w:rPr>
                <w:sz w:val="22"/>
                <w:lang w:val="ru-RU"/>
              </w:rPr>
              <w:t>.</w:t>
            </w:r>
            <w:r w:rsidR="00FD2FBB" w:rsidRPr="000A621F">
              <w:rPr>
                <w:sz w:val="22"/>
                <w:lang w:val="ru-RU"/>
              </w:rPr>
              <w:t xml:space="preserve"> Майна</w:t>
            </w:r>
            <w:r w:rsidRPr="000A621F">
              <w:rPr>
                <w:sz w:val="22"/>
                <w:lang w:val="ru-RU"/>
              </w:rPr>
              <w:t>, по адресу</w:t>
            </w:r>
            <w:r w:rsidRPr="000A621F">
              <w:rPr>
                <w:rFonts w:eastAsia="Times New Roman"/>
                <w:color w:val="000000"/>
                <w:sz w:val="22"/>
                <w:lang w:val="ru-RU" w:eastAsia="ru-RU" w:bidi="ar-SA"/>
              </w:rPr>
              <w:t xml:space="preserve"> </w:t>
            </w:r>
            <w:r w:rsidRPr="000A621F">
              <w:rPr>
                <w:sz w:val="22"/>
                <w:lang w:val="ru-RU"/>
              </w:rPr>
              <w:t xml:space="preserve">Республика Хакасия, г. Саяногорск, </w:t>
            </w:r>
            <w:proofErr w:type="spellStart"/>
            <w:r w:rsidRPr="000A621F">
              <w:rPr>
                <w:sz w:val="22"/>
                <w:lang w:val="ru-RU"/>
              </w:rPr>
              <w:t>рп</w:t>
            </w:r>
            <w:proofErr w:type="spellEnd"/>
            <w:r w:rsidRPr="000A621F">
              <w:rPr>
                <w:sz w:val="22"/>
                <w:lang w:val="ru-RU"/>
              </w:rPr>
              <w:t>. Майна, ул. Промышленная, 1б</w:t>
            </w:r>
            <w:r w:rsidR="00FD2FBB" w:rsidRPr="000A621F">
              <w:rPr>
                <w:sz w:val="22"/>
                <w:lang w:val="ru-RU"/>
              </w:rPr>
              <w:t xml:space="preserve"> </w:t>
            </w:r>
          </w:p>
          <w:p w:rsidR="00A913FB" w:rsidRDefault="00A913FB" w:rsidP="00EB0AF6">
            <w:pPr>
              <w:tabs>
                <w:tab w:val="left" w:pos="232"/>
              </w:tabs>
              <w:rPr>
                <w:sz w:val="22"/>
                <w:lang w:val="ru-RU"/>
              </w:rPr>
            </w:pPr>
            <w:r w:rsidRPr="00A913FB">
              <w:rPr>
                <w:sz w:val="22"/>
                <w:lang w:val="ru-RU"/>
              </w:rPr>
              <w:t>Проектная производительность</w:t>
            </w:r>
            <w:r>
              <w:rPr>
                <w:sz w:val="22"/>
                <w:lang w:val="ru-RU"/>
              </w:rPr>
              <w:t xml:space="preserve"> </w:t>
            </w:r>
            <w:r w:rsidRPr="00A913FB">
              <w:rPr>
                <w:sz w:val="22"/>
                <w:lang w:val="ru-RU"/>
              </w:rPr>
              <w:t>1 700 куб. м /сутки</w:t>
            </w:r>
            <w:r>
              <w:rPr>
                <w:sz w:val="22"/>
                <w:lang w:val="ru-RU"/>
              </w:rPr>
              <w:t>;</w:t>
            </w:r>
          </w:p>
          <w:p w:rsidR="00FD2FBB" w:rsidRPr="000A621F" w:rsidRDefault="00A913FB" w:rsidP="00EB0AF6">
            <w:pPr>
              <w:tabs>
                <w:tab w:val="left" w:pos="232"/>
              </w:tabs>
              <w:rPr>
                <w:sz w:val="22"/>
                <w:lang w:val="ru-RU"/>
              </w:rPr>
            </w:pPr>
            <w:r w:rsidRPr="00A913FB">
              <w:rPr>
                <w:sz w:val="22"/>
                <w:lang w:val="ru-RU"/>
              </w:rPr>
              <w:t>Фактическая производительность</w:t>
            </w:r>
            <w:r>
              <w:rPr>
                <w:sz w:val="22"/>
                <w:lang w:val="ru-RU"/>
              </w:rPr>
              <w:t xml:space="preserve"> </w:t>
            </w:r>
            <w:r w:rsidRPr="00A913FB">
              <w:rPr>
                <w:sz w:val="22"/>
                <w:lang w:val="ru-RU"/>
              </w:rPr>
              <w:t>361 куб. м /сутки</w:t>
            </w:r>
            <w:r>
              <w:rPr>
                <w:sz w:val="22"/>
                <w:lang w:val="ru-RU"/>
              </w:rPr>
              <w:t>.</w:t>
            </w:r>
          </w:p>
        </w:tc>
      </w:tr>
      <w:tr w:rsidR="00FF40E1" w:rsidRPr="00A428AE" w:rsidTr="007E26C2">
        <w:trPr>
          <w:jc w:val="center"/>
        </w:trPr>
        <w:tc>
          <w:tcPr>
            <w:tcW w:w="439" w:type="dxa"/>
            <w:vAlign w:val="center"/>
          </w:tcPr>
          <w:p w:rsidR="00FF40E1" w:rsidRPr="00A428AE" w:rsidRDefault="00FF40E1" w:rsidP="00FF40E1">
            <w:pPr>
              <w:jc w:val="center"/>
              <w:rPr>
                <w:sz w:val="22"/>
                <w:lang w:val="ru-RU"/>
              </w:rPr>
            </w:pPr>
            <w:r>
              <w:rPr>
                <w:sz w:val="22"/>
                <w:lang w:val="ru-RU"/>
              </w:rPr>
              <w:t>7</w:t>
            </w:r>
          </w:p>
        </w:tc>
        <w:tc>
          <w:tcPr>
            <w:tcW w:w="1901" w:type="dxa"/>
            <w:vAlign w:val="center"/>
          </w:tcPr>
          <w:p w:rsidR="00FF40E1" w:rsidRPr="00A428AE" w:rsidRDefault="00FF40E1" w:rsidP="00FF40E1">
            <w:pPr>
              <w:rPr>
                <w:i/>
                <w:sz w:val="22"/>
                <w:lang w:val="ru-RU"/>
              </w:rPr>
            </w:pPr>
            <w:r w:rsidRPr="00A428AE">
              <w:rPr>
                <w:i/>
                <w:sz w:val="22"/>
                <w:lang w:val="ru-RU"/>
              </w:rPr>
              <w:t>Требования к оказанию услуг</w:t>
            </w:r>
          </w:p>
        </w:tc>
        <w:tc>
          <w:tcPr>
            <w:tcW w:w="7441" w:type="dxa"/>
            <w:vAlign w:val="center"/>
          </w:tcPr>
          <w:p w:rsidR="00FF40E1" w:rsidRPr="00A428AE" w:rsidRDefault="00FF40E1" w:rsidP="00FF40E1">
            <w:pPr>
              <w:jc w:val="both"/>
              <w:rPr>
                <w:rFonts w:eastAsia="Times New Roman"/>
                <w:sz w:val="22"/>
                <w:lang w:val="ru-RU" w:eastAsia="ar-SA"/>
              </w:rPr>
            </w:pPr>
            <w:r w:rsidRPr="00A428AE">
              <w:rPr>
                <w:rFonts w:eastAsia="Times New Roman"/>
                <w:sz w:val="22"/>
                <w:lang w:val="ru-RU" w:eastAsia="ar-SA"/>
              </w:rPr>
              <w:t>Исполнитель, при оказании услуг должен руководствоваться нормами как действующего, так и перспективного природоохранного законодательства, при этом под перспективными требованиями понимаются нормы природоохранного законодательства, находящиеся на момент проведения аудита на стадии «законопроект», либо имеющих отлагательные условия вступления в силу.</w:t>
            </w:r>
          </w:p>
          <w:p w:rsidR="00FF40E1" w:rsidRPr="00A428AE" w:rsidRDefault="00FF40E1" w:rsidP="00FF40E1">
            <w:pPr>
              <w:suppressAutoHyphens/>
              <w:jc w:val="both"/>
              <w:rPr>
                <w:sz w:val="22"/>
                <w:lang w:val="ru-RU"/>
              </w:rPr>
            </w:pPr>
            <w:r>
              <w:rPr>
                <w:rFonts w:eastAsia="Times New Roman"/>
                <w:sz w:val="22"/>
                <w:lang w:val="ru-RU" w:eastAsia="ar-SA"/>
              </w:rPr>
              <w:t>Вариантная проработка – не требуется.</w:t>
            </w:r>
          </w:p>
        </w:tc>
      </w:tr>
      <w:tr w:rsidR="00F01616" w:rsidRPr="00FF40E1" w:rsidTr="007E26C2">
        <w:trPr>
          <w:jc w:val="center"/>
        </w:trPr>
        <w:tc>
          <w:tcPr>
            <w:tcW w:w="439" w:type="dxa"/>
            <w:vAlign w:val="center"/>
          </w:tcPr>
          <w:p w:rsidR="00F01616" w:rsidRPr="002E23BF" w:rsidRDefault="00F01616" w:rsidP="00F01616">
            <w:pPr>
              <w:jc w:val="center"/>
              <w:rPr>
                <w:sz w:val="22"/>
                <w:lang w:val="ru-RU"/>
              </w:rPr>
            </w:pPr>
            <w:r>
              <w:rPr>
                <w:sz w:val="22"/>
                <w:lang w:val="ru-RU"/>
              </w:rPr>
              <w:t>8</w:t>
            </w:r>
          </w:p>
        </w:tc>
        <w:tc>
          <w:tcPr>
            <w:tcW w:w="1901" w:type="dxa"/>
            <w:vAlign w:val="center"/>
          </w:tcPr>
          <w:p w:rsidR="00F01616" w:rsidRPr="002E23BF" w:rsidRDefault="00F01616" w:rsidP="00F01616">
            <w:pPr>
              <w:rPr>
                <w:i/>
                <w:sz w:val="22"/>
                <w:lang w:val="ru-RU"/>
              </w:rPr>
            </w:pPr>
            <w:r w:rsidRPr="002E23BF">
              <w:rPr>
                <w:i/>
                <w:sz w:val="22"/>
                <w:lang w:val="ru-RU"/>
              </w:rPr>
              <w:t>Содержание услуг</w:t>
            </w:r>
          </w:p>
        </w:tc>
        <w:tc>
          <w:tcPr>
            <w:tcW w:w="7441" w:type="dxa"/>
            <w:vAlign w:val="center"/>
          </w:tcPr>
          <w:p w:rsidR="00F01616" w:rsidRPr="002E23BF" w:rsidRDefault="00F01616" w:rsidP="00F01616">
            <w:pPr>
              <w:pStyle w:val="ab"/>
              <w:tabs>
                <w:tab w:val="left" w:pos="562"/>
              </w:tabs>
              <w:ind w:left="22"/>
              <w:jc w:val="both"/>
              <w:rPr>
                <w:sz w:val="22"/>
                <w:u w:val="single"/>
                <w:lang w:val="ru-RU"/>
              </w:rPr>
            </w:pPr>
            <w:r>
              <w:rPr>
                <w:sz w:val="22"/>
                <w:u w:val="single"/>
                <w:lang w:val="ru-RU"/>
              </w:rPr>
              <w:t>План работ по</w:t>
            </w:r>
            <w:r w:rsidRPr="002E23BF">
              <w:rPr>
                <w:sz w:val="22"/>
                <w:u w:val="single"/>
                <w:lang w:val="ru-RU"/>
              </w:rPr>
              <w:t xml:space="preserve"> КОС г. Саяногорска</w:t>
            </w:r>
          </w:p>
          <w:p w:rsidR="00F01616" w:rsidRDefault="00F01616" w:rsidP="00F01616">
            <w:pPr>
              <w:pStyle w:val="ab"/>
              <w:numPr>
                <w:ilvl w:val="0"/>
                <w:numId w:val="22"/>
              </w:numPr>
              <w:tabs>
                <w:tab w:val="left" w:pos="952"/>
              </w:tabs>
              <w:jc w:val="both"/>
              <w:rPr>
                <w:sz w:val="22"/>
                <w:lang w:val="ru-RU"/>
              </w:rPr>
            </w:pPr>
            <w:proofErr w:type="spellStart"/>
            <w:r>
              <w:rPr>
                <w:sz w:val="22"/>
                <w:lang w:val="ru-RU"/>
              </w:rPr>
              <w:t>Предпроектное</w:t>
            </w:r>
            <w:proofErr w:type="spellEnd"/>
            <w:r>
              <w:rPr>
                <w:sz w:val="22"/>
                <w:lang w:val="ru-RU"/>
              </w:rPr>
              <w:t xml:space="preserve"> обследование:</w:t>
            </w:r>
          </w:p>
          <w:p w:rsidR="00F01616" w:rsidRDefault="00F01616" w:rsidP="00F01616">
            <w:pPr>
              <w:pStyle w:val="ab"/>
              <w:numPr>
                <w:ilvl w:val="1"/>
                <w:numId w:val="22"/>
              </w:numPr>
              <w:tabs>
                <w:tab w:val="left" w:pos="562"/>
              </w:tabs>
              <w:spacing w:after="200" w:line="276" w:lineRule="auto"/>
              <w:jc w:val="both"/>
              <w:rPr>
                <w:sz w:val="22"/>
                <w:lang w:val="ru-RU"/>
              </w:rPr>
            </w:pPr>
            <w:r w:rsidRPr="00FD2FBB">
              <w:rPr>
                <w:sz w:val="22"/>
                <w:lang w:val="ru-RU"/>
              </w:rPr>
              <w:t>Технологическое обследование, составление балансовой схемы, предложения по реконструкции очистных сооружений</w:t>
            </w:r>
            <w:r>
              <w:rPr>
                <w:sz w:val="22"/>
                <w:lang w:val="ru-RU"/>
              </w:rPr>
              <w:t>;</w:t>
            </w:r>
          </w:p>
          <w:p w:rsidR="00F01616" w:rsidRDefault="00F01616" w:rsidP="00F01616">
            <w:pPr>
              <w:pStyle w:val="ab"/>
              <w:numPr>
                <w:ilvl w:val="1"/>
                <w:numId w:val="22"/>
              </w:numPr>
              <w:tabs>
                <w:tab w:val="left" w:pos="562"/>
              </w:tabs>
              <w:spacing w:after="200" w:line="276" w:lineRule="auto"/>
              <w:jc w:val="both"/>
              <w:rPr>
                <w:sz w:val="22"/>
                <w:lang w:val="ru-RU"/>
              </w:rPr>
            </w:pPr>
            <w:r w:rsidRPr="00E362A6">
              <w:rPr>
                <w:sz w:val="22"/>
                <w:lang w:val="ru-RU"/>
              </w:rPr>
              <w:t>Определение направлений модернизации или реконструкции очистных сооружений для улучшения эффективности их работы с учетом перспективного развития</w:t>
            </w:r>
            <w:r>
              <w:rPr>
                <w:sz w:val="22"/>
                <w:lang w:val="ru-RU"/>
              </w:rPr>
              <w:t>, требований НДТ и действующего законодательства по нормированию сбросов;</w:t>
            </w:r>
          </w:p>
          <w:p w:rsidR="00F01616" w:rsidRPr="00E362A6" w:rsidRDefault="00F01616" w:rsidP="00F01616">
            <w:pPr>
              <w:pStyle w:val="ab"/>
              <w:numPr>
                <w:ilvl w:val="1"/>
                <w:numId w:val="22"/>
              </w:numPr>
              <w:tabs>
                <w:tab w:val="left" w:pos="562"/>
              </w:tabs>
              <w:spacing w:after="200" w:line="276" w:lineRule="auto"/>
              <w:jc w:val="both"/>
              <w:rPr>
                <w:sz w:val="22"/>
                <w:lang w:val="ru-RU"/>
              </w:rPr>
            </w:pPr>
            <w:proofErr w:type="spellStart"/>
            <w:r w:rsidRPr="00E362A6">
              <w:rPr>
                <w:sz w:val="22"/>
                <w:lang w:val="ru-RU"/>
              </w:rPr>
              <w:t>Предпроектная</w:t>
            </w:r>
            <w:proofErr w:type="spellEnd"/>
            <w:r w:rsidRPr="00E362A6">
              <w:rPr>
                <w:sz w:val="22"/>
                <w:lang w:val="ru-RU"/>
              </w:rPr>
              <w:t xml:space="preserve"> проработка вариантов технологических решений для проектирования реконструкции очистных сооружений на базе существующих с предоставлением обобщенных характеристик очистных сооружений при использовании рассматрив</w:t>
            </w:r>
            <w:r>
              <w:rPr>
                <w:sz w:val="22"/>
                <w:lang w:val="ru-RU"/>
              </w:rPr>
              <w:t xml:space="preserve">аемых технологических вариантов, формирование концепции реконструкции, презентации по предлагаемым техническим решениям, укрупненный расчет технико-экономических параметров работы КОС после реконструкции; </w:t>
            </w:r>
          </w:p>
          <w:p w:rsidR="00F01616" w:rsidRDefault="00F01616" w:rsidP="00F01616">
            <w:pPr>
              <w:pStyle w:val="ab"/>
              <w:numPr>
                <w:ilvl w:val="0"/>
                <w:numId w:val="22"/>
              </w:numPr>
              <w:tabs>
                <w:tab w:val="left" w:pos="952"/>
              </w:tabs>
              <w:jc w:val="both"/>
              <w:rPr>
                <w:sz w:val="22"/>
                <w:lang w:val="ru-RU"/>
              </w:rPr>
            </w:pPr>
            <w:r w:rsidRPr="00587C6F">
              <w:rPr>
                <w:sz w:val="22"/>
                <w:lang w:val="ru-RU"/>
              </w:rPr>
              <w:t>Укрупненное сметное обоснование</w:t>
            </w:r>
            <w:r>
              <w:rPr>
                <w:sz w:val="22"/>
                <w:lang w:val="ru-RU"/>
              </w:rPr>
              <w:t xml:space="preserve"> стоимости реконструкции по НЦС;</w:t>
            </w:r>
          </w:p>
          <w:p w:rsidR="00F01616" w:rsidRDefault="00F01616" w:rsidP="00F01616">
            <w:pPr>
              <w:pStyle w:val="ab"/>
              <w:numPr>
                <w:ilvl w:val="0"/>
                <w:numId w:val="22"/>
              </w:numPr>
              <w:tabs>
                <w:tab w:val="left" w:pos="952"/>
              </w:tabs>
              <w:jc w:val="both"/>
              <w:rPr>
                <w:sz w:val="22"/>
                <w:lang w:val="ru-RU"/>
              </w:rPr>
            </w:pPr>
            <w:r w:rsidRPr="00DF5887">
              <w:rPr>
                <w:sz w:val="22"/>
                <w:lang w:val="ru-RU"/>
              </w:rPr>
              <w:t>Разработка и согласование с Управлением Росприроднадзора «</w:t>
            </w:r>
            <w:r w:rsidRPr="00DF5887">
              <w:rPr>
                <w:bCs/>
                <w:sz w:val="22"/>
                <w:lang w:val="ru-RU"/>
              </w:rPr>
              <w:t xml:space="preserve">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r w:rsidRPr="00DF5887">
              <w:rPr>
                <w:sz w:val="22"/>
                <w:lang w:val="ru-RU"/>
              </w:rPr>
              <w:t>г. Саяногорска</w:t>
            </w:r>
            <w:r>
              <w:rPr>
                <w:sz w:val="22"/>
                <w:lang w:val="ru-RU"/>
              </w:rPr>
              <w:t>;</w:t>
            </w:r>
          </w:p>
          <w:p w:rsidR="00F01616" w:rsidRDefault="00F01616" w:rsidP="00F01616">
            <w:pPr>
              <w:pStyle w:val="ab"/>
              <w:numPr>
                <w:ilvl w:val="0"/>
                <w:numId w:val="22"/>
              </w:numPr>
              <w:tabs>
                <w:tab w:val="left" w:pos="952"/>
              </w:tabs>
              <w:jc w:val="both"/>
              <w:rPr>
                <w:sz w:val="22"/>
                <w:lang w:val="ru-RU"/>
              </w:rPr>
            </w:pPr>
            <w:r w:rsidRPr="001E1EB1">
              <w:rPr>
                <w:sz w:val="22"/>
                <w:lang w:val="ru-RU"/>
              </w:rPr>
              <w:t>Разработка программы повышения экологической эффективности в соответствии с Приказом Министерства природных ресурсов и экологии РФ №666 от 17.12.2018 г.</w:t>
            </w:r>
          </w:p>
          <w:p w:rsidR="00F01616" w:rsidRDefault="00F01616" w:rsidP="00F01616">
            <w:pPr>
              <w:pStyle w:val="ab"/>
              <w:numPr>
                <w:ilvl w:val="0"/>
                <w:numId w:val="22"/>
              </w:numPr>
              <w:tabs>
                <w:tab w:val="left" w:pos="562"/>
              </w:tabs>
              <w:jc w:val="both"/>
              <w:rPr>
                <w:sz w:val="22"/>
                <w:lang w:val="ru-RU"/>
              </w:rPr>
            </w:pPr>
            <w:r>
              <w:rPr>
                <w:sz w:val="22"/>
                <w:lang w:val="ru-RU"/>
              </w:rPr>
              <w:t>Устранение замечаний от ФГАУ «НИИ «ЦЭПП» при прохождении экспертизы программы повышения экологической эффективности.</w:t>
            </w:r>
          </w:p>
          <w:p w:rsidR="00F01616" w:rsidRDefault="00F01616" w:rsidP="00F01616">
            <w:pPr>
              <w:pStyle w:val="ab"/>
              <w:tabs>
                <w:tab w:val="left" w:pos="952"/>
              </w:tabs>
              <w:ind w:left="360"/>
              <w:jc w:val="both"/>
              <w:rPr>
                <w:sz w:val="22"/>
                <w:lang w:val="ru-RU"/>
              </w:rPr>
            </w:pPr>
          </w:p>
          <w:p w:rsidR="00F01616" w:rsidRPr="002E23BF" w:rsidRDefault="00F01616" w:rsidP="00F01616">
            <w:pPr>
              <w:pStyle w:val="ab"/>
              <w:tabs>
                <w:tab w:val="left" w:pos="562"/>
              </w:tabs>
              <w:ind w:left="244" w:firstLine="91"/>
              <w:jc w:val="both"/>
              <w:rPr>
                <w:sz w:val="22"/>
                <w:u w:val="single"/>
                <w:lang w:val="ru-RU"/>
              </w:rPr>
            </w:pPr>
            <w:r>
              <w:rPr>
                <w:sz w:val="22"/>
                <w:u w:val="single"/>
                <w:lang w:val="ru-RU"/>
              </w:rPr>
              <w:t>План работ по</w:t>
            </w:r>
            <w:r w:rsidRPr="002E23BF">
              <w:rPr>
                <w:sz w:val="22"/>
                <w:u w:val="single"/>
                <w:lang w:val="ru-RU"/>
              </w:rPr>
              <w:t xml:space="preserve"> КОС </w:t>
            </w:r>
            <w:proofErr w:type="spellStart"/>
            <w:r>
              <w:rPr>
                <w:sz w:val="22"/>
                <w:u w:val="single"/>
                <w:lang w:val="ru-RU"/>
              </w:rPr>
              <w:t>рп</w:t>
            </w:r>
            <w:proofErr w:type="spellEnd"/>
            <w:r>
              <w:rPr>
                <w:sz w:val="22"/>
                <w:u w:val="single"/>
                <w:lang w:val="ru-RU"/>
              </w:rPr>
              <w:t>. Черемушки</w:t>
            </w:r>
          </w:p>
          <w:p w:rsidR="00F01616" w:rsidRDefault="00F01616" w:rsidP="00F01616">
            <w:pPr>
              <w:pStyle w:val="ab"/>
              <w:numPr>
                <w:ilvl w:val="0"/>
                <w:numId w:val="23"/>
              </w:numPr>
              <w:tabs>
                <w:tab w:val="left" w:pos="562"/>
              </w:tabs>
              <w:jc w:val="both"/>
              <w:rPr>
                <w:sz w:val="22"/>
                <w:lang w:val="ru-RU"/>
              </w:rPr>
            </w:pPr>
            <w:proofErr w:type="spellStart"/>
            <w:r>
              <w:rPr>
                <w:sz w:val="22"/>
                <w:lang w:val="ru-RU"/>
              </w:rPr>
              <w:t>Предпроектное</w:t>
            </w:r>
            <w:proofErr w:type="spellEnd"/>
            <w:r>
              <w:rPr>
                <w:sz w:val="22"/>
                <w:lang w:val="ru-RU"/>
              </w:rPr>
              <w:t xml:space="preserve"> обследование;</w:t>
            </w:r>
          </w:p>
          <w:p w:rsidR="00F01616" w:rsidRPr="002E23BF" w:rsidRDefault="00F01616" w:rsidP="00F01616">
            <w:pPr>
              <w:pStyle w:val="ab"/>
              <w:numPr>
                <w:ilvl w:val="0"/>
                <w:numId w:val="23"/>
              </w:numPr>
              <w:tabs>
                <w:tab w:val="left" w:pos="562"/>
              </w:tabs>
              <w:jc w:val="both"/>
              <w:rPr>
                <w:sz w:val="22"/>
                <w:lang w:val="ru-RU"/>
              </w:rPr>
            </w:pPr>
            <w:r>
              <w:rPr>
                <w:sz w:val="22"/>
                <w:lang w:val="ru-RU"/>
              </w:rPr>
              <w:t>А</w:t>
            </w:r>
            <w:r w:rsidRPr="00DF5F4D">
              <w:rPr>
                <w:sz w:val="22"/>
                <w:lang w:val="ru-RU"/>
              </w:rPr>
              <w:t>удит</w:t>
            </w:r>
            <w:r>
              <w:rPr>
                <w:sz w:val="22"/>
                <w:lang w:val="ru-RU"/>
              </w:rPr>
              <w:t xml:space="preserve"> раздела ТХ проектной документации</w:t>
            </w:r>
            <w:r w:rsidRPr="00DF5F4D">
              <w:rPr>
                <w:sz w:val="22"/>
                <w:lang w:val="ru-RU"/>
              </w:rPr>
              <w:t xml:space="preserve"> с указаниями отклонений от действующих законодательных актов и предложениями по устранению ошибок</w:t>
            </w:r>
            <w:r>
              <w:rPr>
                <w:sz w:val="22"/>
                <w:lang w:val="ru-RU"/>
              </w:rPr>
              <w:t>:</w:t>
            </w:r>
          </w:p>
          <w:p w:rsidR="00F01616" w:rsidRDefault="00F01616" w:rsidP="00F01616">
            <w:pPr>
              <w:pStyle w:val="ab"/>
              <w:numPr>
                <w:ilvl w:val="1"/>
                <w:numId w:val="23"/>
              </w:numPr>
              <w:tabs>
                <w:tab w:val="left" w:pos="562"/>
              </w:tabs>
              <w:spacing w:after="200" w:line="276" w:lineRule="auto"/>
              <w:jc w:val="both"/>
              <w:rPr>
                <w:sz w:val="22"/>
                <w:lang w:val="ru-RU"/>
              </w:rPr>
            </w:pPr>
            <w:r>
              <w:rPr>
                <w:sz w:val="22"/>
                <w:lang w:val="ru-RU"/>
              </w:rPr>
              <w:t>К</w:t>
            </w:r>
            <w:r w:rsidRPr="00DF5F4D">
              <w:rPr>
                <w:sz w:val="22"/>
                <w:lang w:val="ru-RU"/>
              </w:rPr>
              <w:t>орректировк</w:t>
            </w:r>
            <w:r>
              <w:rPr>
                <w:sz w:val="22"/>
                <w:lang w:val="ru-RU"/>
              </w:rPr>
              <w:t>а</w:t>
            </w:r>
            <w:r w:rsidRPr="00DF5F4D">
              <w:rPr>
                <w:sz w:val="22"/>
                <w:lang w:val="ru-RU"/>
              </w:rPr>
              <w:t xml:space="preserve"> балансовых схем с учетом действующего законодательства</w:t>
            </w:r>
            <w:r>
              <w:rPr>
                <w:sz w:val="22"/>
                <w:lang w:val="ru-RU"/>
              </w:rPr>
              <w:t xml:space="preserve"> и требований ПП №1430 от 15.09.2020 г.;</w:t>
            </w:r>
          </w:p>
          <w:p w:rsidR="00F01616" w:rsidRDefault="00F01616" w:rsidP="00F01616">
            <w:pPr>
              <w:pStyle w:val="ab"/>
              <w:numPr>
                <w:ilvl w:val="1"/>
                <w:numId w:val="23"/>
              </w:numPr>
              <w:tabs>
                <w:tab w:val="left" w:pos="562"/>
              </w:tabs>
              <w:spacing w:after="200" w:line="276" w:lineRule="auto"/>
              <w:jc w:val="both"/>
              <w:rPr>
                <w:sz w:val="22"/>
                <w:lang w:val="ru-RU"/>
              </w:rPr>
            </w:pPr>
            <w:r w:rsidRPr="00DF5F4D">
              <w:rPr>
                <w:sz w:val="22"/>
                <w:lang w:val="ru-RU"/>
              </w:rPr>
              <w:t xml:space="preserve">Определение необходимых корректировок </w:t>
            </w:r>
            <w:r>
              <w:rPr>
                <w:sz w:val="22"/>
                <w:lang w:val="ru-RU"/>
              </w:rPr>
              <w:t>проектной документации раздела ТХ</w:t>
            </w:r>
            <w:r w:rsidRPr="00DF5F4D">
              <w:rPr>
                <w:sz w:val="22"/>
                <w:lang w:val="ru-RU"/>
              </w:rPr>
              <w:t xml:space="preserve"> для оптимизации затрат по реконструкции</w:t>
            </w:r>
            <w:r>
              <w:rPr>
                <w:sz w:val="22"/>
                <w:lang w:val="ru-RU"/>
              </w:rPr>
              <w:t>, формирование списка дополнительной исходно-разрешительной документации в соответствии с действующим законодательством</w:t>
            </w:r>
            <w:r w:rsidRPr="00E362A6">
              <w:rPr>
                <w:sz w:val="22"/>
                <w:lang w:val="ru-RU"/>
              </w:rPr>
              <w:t>.</w:t>
            </w:r>
          </w:p>
          <w:p w:rsidR="00F01616" w:rsidRDefault="00F01616" w:rsidP="00F01616">
            <w:pPr>
              <w:pStyle w:val="ab"/>
              <w:numPr>
                <w:ilvl w:val="0"/>
                <w:numId w:val="23"/>
              </w:numPr>
              <w:tabs>
                <w:tab w:val="left" w:pos="952"/>
              </w:tabs>
              <w:jc w:val="both"/>
              <w:rPr>
                <w:sz w:val="22"/>
                <w:lang w:val="ru-RU"/>
              </w:rPr>
            </w:pPr>
            <w:r w:rsidRPr="00587C6F">
              <w:rPr>
                <w:sz w:val="22"/>
                <w:lang w:val="ru-RU"/>
              </w:rPr>
              <w:t>Укрупненное сметное обоснование</w:t>
            </w:r>
            <w:r>
              <w:rPr>
                <w:sz w:val="22"/>
                <w:lang w:val="ru-RU"/>
              </w:rPr>
              <w:t xml:space="preserve"> стоимости реконструкции по НЦС;</w:t>
            </w:r>
          </w:p>
          <w:p w:rsidR="00F01616" w:rsidRDefault="00F01616" w:rsidP="00F01616">
            <w:pPr>
              <w:pStyle w:val="ab"/>
              <w:numPr>
                <w:ilvl w:val="0"/>
                <w:numId w:val="23"/>
              </w:numPr>
              <w:tabs>
                <w:tab w:val="left" w:pos="952"/>
              </w:tabs>
              <w:jc w:val="both"/>
              <w:rPr>
                <w:sz w:val="22"/>
                <w:lang w:val="ru-RU"/>
              </w:rPr>
            </w:pPr>
            <w:r w:rsidRPr="00DF5887">
              <w:rPr>
                <w:sz w:val="22"/>
                <w:lang w:val="ru-RU"/>
              </w:rPr>
              <w:t xml:space="preserve">Разработка и согласование с Управлением Росприроднадзора «Плана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proofErr w:type="spellStart"/>
            <w:r w:rsidRPr="00DF5887">
              <w:rPr>
                <w:sz w:val="22"/>
                <w:lang w:val="ru-RU"/>
              </w:rPr>
              <w:t>рп</w:t>
            </w:r>
            <w:proofErr w:type="spellEnd"/>
            <w:r w:rsidRPr="00DF5887">
              <w:rPr>
                <w:sz w:val="22"/>
                <w:lang w:val="ru-RU"/>
              </w:rPr>
              <w:t>. Черемушки</w:t>
            </w:r>
            <w:r>
              <w:rPr>
                <w:sz w:val="22"/>
                <w:lang w:val="ru-RU"/>
              </w:rPr>
              <w:t>;</w:t>
            </w:r>
          </w:p>
          <w:p w:rsidR="00F01616" w:rsidRDefault="00F01616" w:rsidP="00F01616">
            <w:pPr>
              <w:pStyle w:val="ab"/>
              <w:numPr>
                <w:ilvl w:val="0"/>
                <w:numId w:val="23"/>
              </w:numPr>
              <w:tabs>
                <w:tab w:val="left" w:pos="562"/>
              </w:tabs>
              <w:jc w:val="both"/>
              <w:rPr>
                <w:sz w:val="22"/>
                <w:lang w:val="ru-RU"/>
              </w:rPr>
            </w:pPr>
            <w:r w:rsidRPr="001E1EB1">
              <w:rPr>
                <w:sz w:val="22"/>
                <w:lang w:val="ru-RU"/>
              </w:rPr>
              <w:t>Разработка программы повышения экологической эффективности в соответствии с Приказом Министерства природных ресурсов и э</w:t>
            </w:r>
            <w:r>
              <w:rPr>
                <w:sz w:val="22"/>
                <w:lang w:val="ru-RU"/>
              </w:rPr>
              <w:t>кологии РФ №666 от 17.12.2018 г</w:t>
            </w:r>
            <w:r w:rsidRPr="002E23BF">
              <w:rPr>
                <w:sz w:val="22"/>
                <w:lang w:val="ru-RU"/>
              </w:rPr>
              <w:t>.</w:t>
            </w:r>
          </w:p>
          <w:p w:rsidR="00F01616" w:rsidRDefault="00F01616" w:rsidP="00F01616">
            <w:pPr>
              <w:pStyle w:val="ab"/>
              <w:numPr>
                <w:ilvl w:val="0"/>
                <w:numId w:val="23"/>
              </w:numPr>
              <w:tabs>
                <w:tab w:val="left" w:pos="562"/>
              </w:tabs>
              <w:jc w:val="both"/>
              <w:rPr>
                <w:sz w:val="22"/>
                <w:lang w:val="ru-RU"/>
              </w:rPr>
            </w:pPr>
            <w:r>
              <w:rPr>
                <w:sz w:val="22"/>
                <w:lang w:val="ru-RU"/>
              </w:rPr>
              <w:t>Устранение замечаний от ФГАУ «НИИ «ЦЭПП» при прохождении экспертизы программы повышения экологической эффективности.</w:t>
            </w:r>
          </w:p>
          <w:p w:rsidR="00F01616" w:rsidRDefault="00F01616" w:rsidP="00F01616">
            <w:pPr>
              <w:tabs>
                <w:tab w:val="left" w:pos="562"/>
              </w:tabs>
              <w:jc w:val="both"/>
              <w:rPr>
                <w:sz w:val="22"/>
                <w:lang w:val="ru-RU"/>
              </w:rPr>
            </w:pPr>
          </w:p>
          <w:p w:rsidR="00F01616" w:rsidRPr="00BC5EA5" w:rsidRDefault="00F01616" w:rsidP="00F01616">
            <w:pPr>
              <w:tabs>
                <w:tab w:val="left" w:pos="562"/>
              </w:tabs>
              <w:jc w:val="both"/>
              <w:rPr>
                <w:sz w:val="22"/>
                <w:lang w:val="ru-RU"/>
              </w:rPr>
            </w:pPr>
          </w:p>
          <w:p w:rsidR="00F01616" w:rsidRPr="002E23BF" w:rsidRDefault="00F01616" w:rsidP="00F01616">
            <w:pPr>
              <w:pStyle w:val="ab"/>
              <w:tabs>
                <w:tab w:val="left" w:pos="562"/>
              </w:tabs>
              <w:ind w:left="244" w:firstLine="91"/>
              <w:jc w:val="both"/>
              <w:rPr>
                <w:sz w:val="22"/>
                <w:u w:val="single"/>
                <w:lang w:val="ru-RU"/>
              </w:rPr>
            </w:pPr>
            <w:r>
              <w:rPr>
                <w:sz w:val="22"/>
                <w:u w:val="single"/>
                <w:lang w:val="ru-RU"/>
              </w:rPr>
              <w:t>План работ по</w:t>
            </w:r>
            <w:r w:rsidRPr="002E23BF">
              <w:rPr>
                <w:sz w:val="22"/>
                <w:u w:val="single"/>
                <w:lang w:val="ru-RU"/>
              </w:rPr>
              <w:t xml:space="preserve"> КОС </w:t>
            </w:r>
            <w:proofErr w:type="spellStart"/>
            <w:r>
              <w:rPr>
                <w:sz w:val="22"/>
                <w:u w:val="single"/>
                <w:lang w:val="ru-RU"/>
              </w:rPr>
              <w:t>рп</w:t>
            </w:r>
            <w:proofErr w:type="spellEnd"/>
            <w:r>
              <w:rPr>
                <w:sz w:val="22"/>
                <w:u w:val="single"/>
                <w:lang w:val="ru-RU"/>
              </w:rPr>
              <w:t>. Майна</w:t>
            </w:r>
          </w:p>
          <w:p w:rsidR="00F01616" w:rsidRPr="002E23BF" w:rsidRDefault="00F01616" w:rsidP="00F01616">
            <w:pPr>
              <w:pStyle w:val="ab"/>
              <w:numPr>
                <w:ilvl w:val="0"/>
                <w:numId w:val="24"/>
              </w:numPr>
              <w:tabs>
                <w:tab w:val="left" w:pos="562"/>
              </w:tabs>
              <w:jc w:val="both"/>
              <w:rPr>
                <w:sz w:val="22"/>
                <w:lang w:val="ru-RU"/>
              </w:rPr>
            </w:pPr>
            <w:r w:rsidRPr="002E23BF">
              <w:rPr>
                <w:sz w:val="22"/>
                <w:lang w:val="ru-RU"/>
              </w:rPr>
              <w:t>Комплексное визуальное обследование строительных конструкций зданий и сооружений;</w:t>
            </w:r>
          </w:p>
          <w:p w:rsidR="00F01616" w:rsidRDefault="00F01616" w:rsidP="00F01616">
            <w:pPr>
              <w:pStyle w:val="ab"/>
              <w:numPr>
                <w:ilvl w:val="0"/>
                <w:numId w:val="24"/>
              </w:numPr>
              <w:tabs>
                <w:tab w:val="left" w:pos="562"/>
              </w:tabs>
              <w:spacing w:after="200" w:line="276" w:lineRule="auto"/>
              <w:jc w:val="both"/>
              <w:rPr>
                <w:sz w:val="22"/>
                <w:lang w:val="ru-RU"/>
              </w:rPr>
            </w:pPr>
            <w:r w:rsidRPr="002E23BF">
              <w:rPr>
                <w:sz w:val="22"/>
                <w:lang w:val="ru-RU"/>
              </w:rPr>
              <w:t>Камеральная обработка результатов обследования, составление дефектной ведомости</w:t>
            </w:r>
            <w:r>
              <w:rPr>
                <w:sz w:val="22"/>
                <w:lang w:val="ru-RU"/>
              </w:rPr>
              <w:t>;</w:t>
            </w:r>
          </w:p>
          <w:p w:rsidR="00F01616" w:rsidRDefault="00F01616" w:rsidP="00F01616">
            <w:pPr>
              <w:pStyle w:val="ab"/>
              <w:numPr>
                <w:ilvl w:val="0"/>
                <w:numId w:val="24"/>
              </w:numPr>
              <w:tabs>
                <w:tab w:val="left" w:pos="562"/>
              </w:tabs>
              <w:spacing w:after="200" w:line="276" w:lineRule="auto"/>
              <w:jc w:val="both"/>
              <w:rPr>
                <w:sz w:val="22"/>
                <w:lang w:val="ru-RU"/>
              </w:rPr>
            </w:pPr>
            <w:proofErr w:type="spellStart"/>
            <w:r w:rsidRPr="00410C74">
              <w:rPr>
                <w:sz w:val="22"/>
                <w:lang w:val="ru-RU"/>
              </w:rPr>
              <w:t>Предпроектное</w:t>
            </w:r>
            <w:proofErr w:type="spellEnd"/>
            <w:r w:rsidRPr="00410C74">
              <w:rPr>
                <w:sz w:val="22"/>
                <w:lang w:val="ru-RU"/>
              </w:rPr>
              <w:t xml:space="preserve"> обследование</w:t>
            </w:r>
            <w:r>
              <w:rPr>
                <w:sz w:val="22"/>
                <w:lang w:val="ru-RU"/>
              </w:rPr>
              <w:t>:</w:t>
            </w:r>
          </w:p>
          <w:p w:rsidR="00F01616" w:rsidRPr="00410C74" w:rsidRDefault="00F01616" w:rsidP="00F01616">
            <w:pPr>
              <w:pStyle w:val="ab"/>
              <w:numPr>
                <w:ilvl w:val="1"/>
                <w:numId w:val="24"/>
              </w:numPr>
              <w:tabs>
                <w:tab w:val="left" w:pos="562"/>
              </w:tabs>
              <w:spacing w:after="200" w:line="276" w:lineRule="auto"/>
              <w:jc w:val="both"/>
              <w:rPr>
                <w:sz w:val="22"/>
                <w:lang w:val="ru-RU"/>
              </w:rPr>
            </w:pPr>
            <w:r w:rsidRPr="00410C74">
              <w:rPr>
                <w:sz w:val="22"/>
                <w:lang w:val="ru-RU"/>
              </w:rPr>
              <w:t xml:space="preserve"> Технологическое обследование, составление балансовой схемы, предложения по реконструкции очистных сооружений</w:t>
            </w:r>
            <w:r>
              <w:rPr>
                <w:sz w:val="22"/>
                <w:lang w:val="ru-RU"/>
              </w:rPr>
              <w:t>;</w:t>
            </w:r>
          </w:p>
          <w:p w:rsidR="00F01616" w:rsidRDefault="00F01616" w:rsidP="00F01616">
            <w:pPr>
              <w:pStyle w:val="ab"/>
              <w:numPr>
                <w:ilvl w:val="1"/>
                <w:numId w:val="24"/>
              </w:numPr>
              <w:tabs>
                <w:tab w:val="left" w:pos="562"/>
              </w:tabs>
              <w:spacing w:after="200" w:line="276" w:lineRule="auto"/>
              <w:jc w:val="both"/>
              <w:rPr>
                <w:sz w:val="22"/>
                <w:lang w:val="ru-RU"/>
              </w:rPr>
            </w:pPr>
            <w:r w:rsidRPr="00E362A6">
              <w:rPr>
                <w:sz w:val="22"/>
                <w:lang w:val="ru-RU"/>
              </w:rPr>
              <w:t>Сбор исходных данных, необходимых для оказания услуг (количественный и качественный состав сточных вод, состав сооружений и оборудования, ознакомление с технической документацией и эксплуатационными данными).</w:t>
            </w:r>
          </w:p>
          <w:p w:rsidR="00F01616" w:rsidRDefault="00F01616" w:rsidP="00F01616">
            <w:pPr>
              <w:pStyle w:val="ab"/>
              <w:numPr>
                <w:ilvl w:val="1"/>
                <w:numId w:val="24"/>
              </w:numPr>
              <w:tabs>
                <w:tab w:val="left" w:pos="562"/>
              </w:tabs>
              <w:spacing w:after="200" w:line="276" w:lineRule="auto"/>
              <w:jc w:val="both"/>
              <w:rPr>
                <w:sz w:val="22"/>
                <w:lang w:val="ru-RU"/>
              </w:rPr>
            </w:pPr>
            <w:r w:rsidRPr="00E362A6">
              <w:rPr>
                <w:sz w:val="22"/>
                <w:lang w:val="ru-RU"/>
              </w:rPr>
              <w:t>Анализ качественных и количественных характеристик сточных вод. Определение расчетных показателей.</w:t>
            </w:r>
          </w:p>
          <w:p w:rsidR="00F01616" w:rsidRDefault="00F01616" w:rsidP="00F01616">
            <w:pPr>
              <w:pStyle w:val="ab"/>
              <w:numPr>
                <w:ilvl w:val="1"/>
                <w:numId w:val="24"/>
              </w:numPr>
              <w:tabs>
                <w:tab w:val="left" w:pos="562"/>
              </w:tabs>
              <w:spacing w:after="200" w:line="276" w:lineRule="auto"/>
              <w:jc w:val="both"/>
              <w:rPr>
                <w:sz w:val="22"/>
                <w:lang w:val="ru-RU"/>
              </w:rPr>
            </w:pPr>
            <w:r w:rsidRPr="00E362A6">
              <w:rPr>
                <w:sz w:val="22"/>
                <w:lang w:val="ru-RU"/>
              </w:rPr>
              <w:t xml:space="preserve">Выявление устаревшего оборудования, рекомендации по его замене на аналогичное или более совершенное с целью повышения </w:t>
            </w:r>
            <w:proofErr w:type="spellStart"/>
            <w:r w:rsidRPr="00E362A6">
              <w:rPr>
                <w:sz w:val="22"/>
                <w:lang w:val="ru-RU"/>
              </w:rPr>
              <w:t>энергоэффективности</w:t>
            </w:r>
            <w:proofErr w:type="spellEnd"/>
            <w:r w:rsidRPr="00E362A6">
              <w:rPr>
                <w:sz w:val="22"/>
                <w:lang w:val="ru-RU"/>
              </w:rPr>
              <w:t>. При подборе основного оборудования определить его основные технические характеристики</w:t>
            </w:r>
            <w:r>
              <w:rPr>
                <w:sz w:val="22"/>
                <w:lang w:val="ru-RU"/>
              </w:rPr>
              <w:t>.</w:t>
            </w:r>
          </w:p>
          <w:p w:rsidR="00F01616" w:rsidRDefault="00F01616" w:rsidP="00F01616">
            <w:pPr>
              <w:pStyle w:val="ab"/>
              <w:numPr>
                <w:ilvl w:val="1"/>
                <w:numId w:val="24"/>
              </w:numPr>
              <w:tabs>
                <w:tab w:val="left" w:pos="562"/>
              </w:tabs>
              <w:spacing w:after="200" w:line="276" w:lineRule="auto"/>
              <w:jc w:val="both"/>
              <w:rPr>
                <w:sz w:val="22"/>
                <w:lang w:val="ru-RU"/>
              </w:rPr>
            </w:pPr>
            <w:r w:rsidRPr="00E362A6">
              <w:rPr>
                <w:sz w:val="22"/>
                <w:lang w:val="ru-RU"/>
              </w:rPr>
              <w:t>Оценка эффективности технологии очистки сточных вод существующих сооружений.</w:t>
            </w:r>
          </w:p>
          <w:p w:rsidR="00F01616" w:rsidRDefault="00F01616" w:rsidP="00F01616">
            <w:pPr>
              <w:pStyle w:val="ab"/>
              <w:numPr>
                <w:ilvl w:val="1"/>
                <w:numId w:val="24"/>
              </w:numPr>
              <w:tabs>
                <w:tab w:val="left" w:pos="562"/>
              </w:tabs>
              <w:spacing w:after="200" w:line="276" w:lineRule="auto"/>
              <w:jc w:val="both"/>
              <w:rPr>
                <w:sz w:val="22"/>
                <w:lang w:val="ru-RU"/>
              </w:rPr>
            </w:pPr>
            <w:r w:rsidRPr="00E362A6">
              <w:rPr>
                <w:sz w:val="22"/>
                <w:lang w:val="ru-RU"/>
              </w:rPr>
              <w:t>Определение направлений модернизации или реконструкции очистных сооружений для улучшения эффективности их работы с учетом перспективного развития.</w:t>
            </w:r>
          </w:p>
          <w:p w:rsidR="00F01616" w:rsidRPr="00E362A6" w:rsidRDefault="00F01616" w:rsidP="00F01616">
            <w:pPr>
              <w:pStyle w:val="ab"/>
              <w:numPr>
                <w:ilvl w:val="1"/>
                <w:numId w:val="24"/>
              </w:numPr>
              <w:tabs>
                <w:tab w:val="left" w:pos="562"/>
              </w:tabs>
              <w:spacing w:after="200" w:line="276" w:lineRule="auto"/>
              <w:jc w:val="both"/>
              <w:rPr>
                <w:sz w:val="22"/>
                <w:lang w:val="ru-RU"/>
              </w:rPr>
            </w:pPr>
            <w:proofErr w:type="spellStart"/>
            <w:r w:rsidRPr="00E362A6">
              <w:rPr>
                <w:sz w:val="22"/>
                <w:lang w:val="ru-RU"/>
              </w:rPr>
              <w:t>Предпроектная</w:t>
            </w:r>
            <w:proofErr w:type="spellEnd"/>
            <w:r w:rsidRPr="00E362A6">
              <w:rPr>
                <w:sz w:val="22"/>
                <w:lang w:val="ru-RU"/>
              </w:rPr>
              <w:t xml:space="preserve"> проработка вариантов технологических решений для проектирования реконструкции очистных сооружений на базе существующих с предоставлением обобщенных характеристик очистных сооружений при использовании рассматрив</w:t>
            </w:r>
            <w:r>
              <w:rPr>
                <w:sz w:val="22"/>
                <w:lang w:val="ru-RU"/>
              </w:rPr>
              <w:t xml:space="preserve">аемых технологических вариантов, формирование концепции реконструкции, презентации по предлагаемым техническим решениям, укрупненный расчет технико-экономических параметров работы КОС после реконструкции; </w:t>
            </w:r>
          </w:p>
          <w:p w:rsidR="00F01616" w:rsidRDefault="00F01616" w:rsidP="00F01616">
            <w:pPr>
              <w:pStyle w:val="ab"/>
              <w:numPr>
                <w:ilvl w:val="0"/>
                <w:numId w:val="24"/>
              </w:numPr>
              <w:tabs>
                <w:tab w:val="left" w:pos="952"/>
              </w:tabs>
              <w:jc w:val="both"/>
              <w:rPr>
                <w:sz w:val="22"/>
                <w:lang w:val="ru-RU"/>
              </w:rPr>
            </w:pPr>
            <w:r w:rsidRPr="00587C6F">
              <w:rPr>
                <w:sz w:val="22"/>
                <w:lang w:val="ru-RU"/>
              </w:rPr>
              <w:t>Укрупненное сметное обоснование</w:t>
            </w:r>
            <w:r>
              <w:rPr>
                <w:sz w:val="22"/>
                <w:lang w:val="ru-RU"/>
              </w:rPr>
              <w:t xml:space="preserve"> стоимости реконструкции по НЦС;</w:t>
            </w:r>
          </w:p>
          <w:p w:rsidR="00F01616" w:rsidRDefault="00F01616" w:rsidP="00F01616">
            <w:pPr>
              <w:pStyle w:val="ab"/>
              <w:numPr>
                <w:ilvl w:val="0"/>
                <w:numId w:val="24"/>
              </w:numPr>
              <w:tabs>
                <w:tab w:val="left" w:pos="952"/>
              </w:tabs>
              <w:jc w:val="both"/>
              <w:rPr>
                <w:sz w:val="22"/>
                <w:lang w:val="ru-RU"/>
              </w:rPr>
            </w:pPr>
            <w:r w:rsidRPr="00DF5887">
              <w:rPr>
                <w:sz w:val="22"/>
                <w:lang w:val="ru-RU"/>
              </w:rPr>
              <w:t xml:space="preserve">Разработка и согласование с Управлением Росприроднадзора «Плана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proofErr w:type="spellStart"/>
            <w:r>
              <w:rPr>
                <w:sz w:val="22"/>
                <w:lang w:val="ru-RU"/>
              </w:rPr>
              <w:t>рп</w:t>
            </w:r>
            <w:proofErr w:type="spellEnd"/>
            <w:r w:rsidRPr="00DF5887">
              <w:rPr>
                <w:sz w:val="22"/>
                <w:lang w:val="ru-RU"/>
              </w:rPr>
              <w:t xml:space="preserve">. </w:t>
            </w:r>
            <w:r>
              <w:rPr>
                <w:sz w:val="22"/>
                <w:lang w:val="ru-RU"/>
              </w:rPr>
              <w:t>Майна;</w:t>
            </w:r>
          </w:p>
          <w:p w:rsidR="00F01616" w:rsidRDefault="00F01616" w:rsidP="00F01616">
            <w:pPr>
              <w:pStyle w:val="ab"/>
              <w:numPr>
                <w:ilvl w:val="0"/>
                <w:numId w:val="24"/>
              </w:numPr>
              <w:tabs>
                <w:tab w:val="left" w:pos="562"/>
              </w:tabs>
              <w:jc w:val="both"/>
              <w:rPr>
                <w:sz w:val="22"/>
                <w:lang w:val="ru-RU"/>
              </w:rPr>
            </w:pPr>
            <w:r w:rsidRPr="001E1EB1">
              <w:rPr>
                <w:sz w:val="22"/>
                <w:lang w:val="ru-RU"/>
              </w:rPr>
              <w:t>Разработка программы повышения экологической эффективности в соответствии с Приказом Министерства природных ресурсов и э</w:t>
            </w:r>
            <w:r>
              <w:rPr>
                <w:sz w:val="22"/>
                <w:lang w:val="ru-RU"/>
              </w:rPr>
              <w:t>кологии РФ №666 от 17.12.2018 г</w:t>
            </w:r>
            <w:r w:rsidRPr="002E23BF">
              <w:rPr>
                <w:sz w:val="22"/>
                <w:lang w:val="ru-RU"/>
              </w:rPr>
              <w:t>.</w:t>
            </w:r>
          </w:p>
          <w:p w:rsidR="00F01616" w:rsidRDefault="00F01616" w:rsidP="00F01616">
            <w:pPr>
              <w:pStyle w:val="ab"/>
              <w:numPr>
                <w:ilvl w:val="0"/>
                <w:numId w:val="24"/>
              </w:numPr>
              <w:tabs>
                <w:tab w:val="left" w:pos="562"/>
              </w:tabs>
              <w:jc w:val="both"/>
              <w:rPr>
                <w:sz w:val="22"/>
                <w:lang w:val="ru-RU"/>
              </w:rPr>
            </w:pPr>
            <w:r>
              <w:rPr>
                <w:sz w:val="22"/>
                <w:lang w:val="ru-RU"/>
              </w:rPr>
              <w:t>Устранение замечаний от ФГАУ «НИИ «ЦЭПП» при прохождении экспертизы программы повышения экологической эффективности.</w:t>
            </w:r>
          </w:p>
          <w:p w:rsidR="00F01616" w:rsidRPr="002E23BF" w:rsidRDefault="00F01616" w:rsidP="00F01616">
            <w:pPr>
              <w:pStyle w:val="ab"/>
              <w:tabs>
                <w:tab w:val="left" w:pos="562"/>
              </w:tabs>
              <w:ind w:left="22"/>
              <w:jc w:val="both"/>
              <w:rPr>
                <w:sz w:val="22"/>
                <w:lang w:val="ru-RU"/>
              </w:rPr>
            </w:pPr>
          </w:p>
        </w:tc>
      </w:tr>
      <w:tr w:rsidR="002A1905" w:rsidRPr="00FF40E1" w:rsidTr="007E26C2">
        <w:trPr>
          <w:trHeight w:val="470"/>
          <w:jc w:val="center"/>
        </w:trPr>
        <w:tc>
          <w:tcPr>
            <w:tcW w:w="439" w:type="dxa"/>
            <w:vAlign w:val="center"/>
          </w:tcPr>
          <w:p w:rsidR="002A1905" w:rsidRPr="002557FE" w:rsidRDefault="00FD2FBB" w:rsidP="007E26C2">
            <w:pPr>
              <w:jc w:val="center"/>
              <w:rPr>
                <w:sz w:val="22"/>
                <w:lang w:val="ru-RU"/>
              </w:rPr>
            </w:pPr>
            <w:r>
              <w:rPr>
                <w:sz w:val="22"/>
                <w:lang w:val="ru-RU"/>
              </w:rPr>
              <w:t>9</w:t>
            </w:r>
          </w:p>
        </w:tc>
        <w:tc>
          <w:tcPr>
            <w:tcW w:w="1901" w:type="dxa"/>
            <w:vAlign w:val="center"/>
          </w:tcPr>
          <w:p w:rsidR="002A1905" w:rsidRPr="002557FE" w:rsidRDefault="002A1905" w:rsidP="007E26C2">
            <w:pPr>
              <w:rPr>
                <w:i/>
                <w:sz w:val="22"/>
                <w:lang w:val="ru-RU"/>
              </w:rPr>
            </w:pPr>
            <w:r w:rsidRPr="002557FE">
              <w:rPr>
                <w:i/>
                <w:sz w:val="22"/>
                <w:lang w:val="ru-RU"/>
              </w:rPr>
              <w:t>Форма предоставления и состав документов</w:t>
            </w:r>
          </w:p>
        </w:tc>
        <w:tc>
          <w:tcPr>
            <w:tcW w:w="7441" w:type="dxa"/>
            <w:vAlign w:val="center"/>
          </w:tcPr>
          <w:p w:rsidR="00610794" w:rsidRPr="0096650D" w:rsidRDefault="006645E7" w:rsidP="002557FE">
            <w:pPr>
              <w:jc w:val="both"/>
              <w:rPr>
                <w:sz w:val="22"/>
                <w:lang w:val="ru-RU"/>
              </w:rPr>
            </w:pPr>
            <w:r w:rsidRPr="006645E7">
              <w:rPr>
                <w:sz w:val="22"/>
                <w:lang w:val="ru-RU"/>
              </w:rPr>
              <w:t xml:space="preserve">Результаты </w:t>
            </w:r>
            <w:r>
              <w:rPr>
                <w:sz w:val="22"/>
                <w:lang w:val="ru-RU"/>
              </w:rPr>
              <w:t>оказания услуг</w:t>
            </w:r>
            <w:r w:rsidRPr="006645E7">
              <w:rPr>
                <w:sz w:val="22"/>
                <w:lang w:val="ru-RU"/>
              </w:rPr>
              <w:t xml:space="preserve"> оформляются Исполнителем в виде</w:t>
            </w:r>
            <w:r w:rsidRPr="002557FE">
              <w:rPr>
                <w:sz w:val="22"/>
                <w:lang w:val="ru-RU"/>
              </w:rPr>
              <w:t xml:space="preserve"> </w:t>
            </w:r>
            <w:r w:rsidR="0096650D">
              <w:rPr>
                <w:sz w:val="22"/>
                <w:lang w:val="ru-RU"/>
              </w:rPr>
              <w:t>отчета</w:t>
            </w:r>
            <w:r w:rsidR="0096650D" w:rsidRPr="0096650D">
              <w:rPr>
                <w:sz w:val="22"/>
                <w:lang w:val="ru-RU"/>
              </w:rPr>
              <w:t xml:space="preserve"> (по каждому объекту/этапу отдельно)</w:t>
            </w:r>
            <w:r w:rsidR="0096650D">
              <w:rPr>
                <w:sz w:val="22"/>
                <w:lang w:val="ru-RU"/>
              </w:rPr>
              <w:t xml:space="preserve">, с </w:t>
            </w:r>
            <w:r>
              <w:rPr>
                <w:sz w:val="22"/>
                <w:lang w:val="ru-RU"/>
              </w:rPr>
              <w:t>о</w:t>
            </w:r>
            <w:r w:rsidR="00BA46CC" w:rsidRPr="002557FE">
              <w:rPr>
                <w:sz w:val="22"/>
                <w:lang w:val="ru-RU"/>
              </w:rPr>
              <w:t>формленны</w:t>
            </w:r>
            <w:r w:rsidR="0096650D">
              <w:rPr>
                <w:sz w:val="22"/>
                <w:lang w:val="ru-RU"/>
              </w:rPr>
              <w:t>ми</w:t>
            </w:r>
            <w:r w:rsidR="00BA46CC" w:rsidRPr="002557FE">
              <w:rPr>
                <w:sz w:val="22"/>
                <w:lang w:val="ru-RU"/>
              </w:rPr>
              <w:t xml:space="preserve"> и согласованны</w:t>
            </w:r>
            <w:r w:rsidR="0096650D">
              <w:rPr>
                <w:sz w:val="22"/>
                <w:lang w:val="ru-RU"/>
              </w:rPr>
              <w:t>ми</w:t>
            </w:r>
            <w:r w:rsidR="00BA46CC" w:rsidRPr="002557FE">
              <w:rPr>
                <w:sz w:val="22"/>
                <w:lang w:val="ru-RU"/>
              </w:rPr>
              <w:t xml:space="preserve"> с Управлением Росприроднадзора «</w:t>
            </w:r>
            <w:r w:rsidR="00BA46CC" w:rsidRPr="002557FE">
              <w:rPr>
                <w:bCs/>
                <w:sz w:val="22"/>
                <w:lang w:val="ru-RU"/>
              </w:rPr>
              <w:t>План</w:t>
            </w:r>
            <w:r w:rsidR="0096650D">
              <w:rPr>
                <w:bCs/>
                <w:sz w:val="22"/>
                <w:lang w:val="ru-RU"/>
              </w:rPr>
              <w:t>ами</w:t>
            </w:r>
            <w:r w:rsidR="00BA46CC" w:rsidRPr="002557FE">
              <w:rPr>
                <w:bCs/>
                <w:sz w:val="22"/>
                <w:lang w:val="ru-RU"/>
              </w:rPr>
              <w:t xml:space="preserve"> снижения сбросов, с учетом поэтапного достижения нормативов допустимых сбросов (НДС) по каждому веществу, по которому устанавливаются НДС на сбросы в водный объект (р. Енисей) для очистных сооружений </w:t>
            </w:r>
            <w:r w:rsidR="002A1905" w:rsidRPr="002557FE">
              <w:rPr>
                <w:sz w:val="22"/>
                <w:lang w:val="ru-RU"/>
              </w:rPr>
              <w:t xml:space="preserve">г. Саяногорска, </w:t>
            </w:r>
            <w:proofErr w:type="spellStart"/>
            <w:r w:rsidR="002A1905" w:rsidRPr="002557FE">
              <w:rPr>
                <w:sz w:val="22"/>
                <w:lang w:val="ru-RU"/>
              </w:rPr>
              <w:t>рп</w:t>
            </w:r>
            <w:proofErr w:type="spellEnd"/>
            <w:r w:rsidR="002A1905" w:rsidRPr="002557FE">
              <w:rPr>
                <w:sz w:val="22"/>
                <w:lang w:val="ru-RU"/>
              </w:rPr>
              <w:t>. Майна</w:t>
            </w:r>
            <w:r w:rsidR="00A51180" w:rsidRPr="002557FE">
              <w:rPr>
                <w:sz w:val="22"/>
                <w:lang w:val="ru-RU"/>
              </w:rPr>
              <w:t xml:space="preserve"> и </w:t>
            </w:r>
            <w:proofErr w:type="spellStart"/>
            <w:r w:rsidR="002A1905" w:rsidRPr="002557FE">
              <w:rPr>
                <w:sz w:val="22"/>
                <w:lang w:val="ru-RU"/>
              </w:rPr>
              <w:t>рп</w:t>
            </w:r>
            <w:proofErr w:type="spellEnd"/>
            <w:r w:rsidR="002A1905" w:rsidRPr="002557FE">
              <w:rPr>
                <w:sz w:val="22"/>
                <w:lang w:val="ru-RU"/>
              </w:rPr>
              <w:t>. Черемушки</w:t>
            </w:r>
            <w:r w:rsidR="00610794">
              <w:rPr>
                <w:sz w:val="22"/>
                <w:lang w:val="ru-RU"/>
              </w:rPr>
              <w:t>,</w:t>
            </w:r>
            <w:r w:rsidR="002A1905" w:rsidRPr="002557FE">
              <w:rPr>
                <w:sz w:val="22"/>
                <w:lang w:val="ru-RU"/>
              </w:rPr>
              <w:t xml:space="preserve"> </w:t>
            </w:r>
            <w:r w:rsidR="0096650D" w:rsidRPr="0096650D">
              <w:rPr>
                <w:sz w:val="22"/>
                <w:lang w:val="ru-RU"/>
              </w:rPr>
              <w:t xml:space="preserve">и предоставляются Заказчику </w:t>
            </w:r>
            <w:r w:rsidR="002A1905" w:rsidRPr="002557FE">
              <w:rPr>
                <w:sz w:val="22"/>
                <w:lang w:val="ru-RU"/>
              </w:rPr>
              <w:t xml:space="preserve">по </w:t>
            </w:r>
            <w:r w:rsidR="0096650D">
              <w:rPr>
                <w:sz w:val="22"/>
                <w:lang w:val="ru-RU"/>
              </w:rPr>
              <w:t>2</w:t>
            </w:r>
            <w:r w:rsidR="002A1905" w:rsidRPr="002557FE">
              <w:rPr>
                <w:sz w:val="22"/>
                <w:lang w:val="ru-RU"/>
              </w:rPr>
              <w:t xml:space="preserve"> экземпляр</w:t>
            </w:r>
            <w:r w:rsidR="002557FE" w:rsidRPr="002557FE">
              <w:rPr>
                <w:sz w:val="22"/>
                <w:lang w:val="ru-RU"/>
              </w:rPr>
              <w:t>а</w:t>
            </w:r>
            <w:r w:rsidR="002A1905" w:rsidRPr="002557FE">
              <w:rPr>
                <w:sz w:val="22"/>
                <w:lang w:val="ru-RU"/>
              </w:rPr>
              <w:t xml:space="preserve"> на бумажном носителе </w:t>
            </w:r>
            <w:r w:rsidRPr="006645E7">
              <w:rPr>
                <w:sz w:val="22"/>
                <w:lang w:val="ru-RU"/>
              </w:rPr>
              <w:t xml:space="preserve">и на электронном носителе в формате файлов </w:t>
            </w:r>
            <w:r>
              <w:rPr>
                <w:sz w:val="22"/>
              </w:rPr>
              <w:t>w</w:t>
            </w:r>
            <w:r w:rsidR="002A1905" w:rsidRPr="002557FE">
              <w:rPr>
                <w:sz w:val="22"/>
              </w:rPr>
              <w:t>ord</w:t>
            </w:r>
            <w:r>
              <w:rPr>
                <w:sz w:val="22"/>
                <w:lang w:val="ru-RU"/>
              </w:rPr>
              <w:t>,</w:t>
            </w:r>
            <w:r w:rsidR="002557FE" w:rsidRPr="002557FE">
              <w:rPr>
                <w:sz w:val="22"/>
                <w:lang w:val="ru-RU"/>
              </w:rPr>
              <w:t xml:space="preserve"> </w:t>
            </w:r>
            <w:r>
              <w:rPr>
                <w:sz w:val="22"/>
              </w:rPr>
              <w:t>e</w:t>
            </w:r>
            <w:r w:rsidR="002A1905" w:rsidRPr="002557FE">
              <w:rPr>
                <w:sz w:val="22"/>
              </w:rPr>
              <w:t>xcel</w:t>
            </w:r>
            <w:r>
              <w:rPr>
                <w:sz w:val="22"/>
                <w:lang w:val="ru-RU"/>
              </w:rPr>
              <w:t xml:space="preserve"> </w:t>
            </w:r>
            <w:r w:rsidRPr="002557FE">
              <w:rPr>
                <w:sz w:val="22"/>
                <w:lang w:val="ru-RU"/>
              </w:rPr>
              <w:t>и</w:t>
            </w:r>
            <w:r>
              <w:rPr>
                <w:sz w:val="22"/>
                <w:lang w:val="ru-RU"/>
              </w:rPr>
              <w:t xml:space="preserve"> </w:t>
            </w:r>
            <w:r w:rsidRPr="006645E7">
              <w:rPr>
                <w:sz w:val="22"/>
                <w:lang w:val="ru-RU"/>
              </w:rPr>
              <w:t>.</w:t>
            </w:r>
            <w:r w:rsidRPr="006645E7">
              <w:rPr>
                <w:sz w:val="22"/>
              </w:rPr>
              <w:t>pdf</w:t>
            </w:r>
            <w:r w:rsidR="0096650D">
              <w:rPr>
                <w:sz w:val="22"/>
                <w:lang w:val="ru-RU"/>
              </w:rPr>
              <w:t>.</w:t>
            </w:r>
          </w:p>
          <w:p w:rsidR="0096650D" w:rsidRPr="00FF40E1" w:rsidRDefault="002A1905" w:rsidP="00AB45E3">
            <w:pPr>
              <w:jc w:val="both"/>
              <w:rPr>
                <w:color w:val="000000"/>
                <w:sz w:val="22"/>
                <w:lang w:val="ru-RU"/>
              </w:rPr>
            </w:pPr>
            <w:r w:rsidRPr="002557FE">
              <w:rPr>
                <w:sz w:val="22"/>
                <w:lang w:val="ru-RU"/>
              </w:rPr>
              <w:t xml:space="preserve">Состав и структура электронной версии </w:t>
            </w:r>
            <w:r w:rsidR="002557FE" w:rsidRPr="00235AE5">
              <w:rPr>
                <w:sz w:val="22"/>
                <w:lang w:val="ru-RU"/>
              </w:rPr>
              <w:t>Планов снижения сбросов</w:t>
            </w:r>
            <w:r w:rsidR="002557FE" w:rsidRPr="002557FE">
              <w:rPr>
                <w:sz w:val="22"/>
                <w:lang w:val="ru-RU"/>
              </w:rPr>
              <w:t xml:space="preserve"> </w:t>
            </w:r>
            <w:r w:rsidRPr="002557FE">
              <w:rPr>
                <w:sz w:val="22"/>
                <w:lang w:val="ru-RU"/>
              </w:rPr>
              <w:t>должны быть идентичны с бумажным носителем</w:t>
            </w:r>
            <w:r w:rsidR="002557FE" w:rsidRPr="002557FE">
              <w:rPr>
                <w:sz w:val="22"/>
                <w:lang w:val="ru-RU"/>
              </w:rPr>
              <w:t>.</w:t>
            </w:r>
          </w:p>
        </w:tc>
      </w:tr>
    </w:tbl>
    <w:p w:rsidR="00BC2B24" w:rsidRDefault="00BC2B24" w:rsidP="00E516E7">
      <w:pPr>
        <w:spacing w:after="0" w:line="240" w:lineRule="auto"/>
        <w:rPr>
          <w:rFonts w:eastAsia="Calibri"/>
          <w:szCs w:val="24"/>
          <w:lang w:val="ru-RU" w:bidi="ar-SA"/>
        </w:rPr>
      </w:pPr>
    </w:p>
    <w:p w:rsidR="00A638C0" w:rsidRDefault="00A638C0" w:rsidP="00E516E7">
      <w:pPr>
        <w:spacing w:after="0" w:line="240" w:lineRule="auto"/>
        <w:rPr>
          <w:rFonts w:eastAsia="Calibri"/>
          <w:szCs w:val="24"/>
          <w:lang w:val="ru-RU" w:bidi="ar-SA"/>
        </w:rPr>
      </w:pPr>
    </w:p>
    <w:p w:rsidR="00E516E7" w:rsidRPr="000357C8" w:rsidRDefault="00E516E7" w:rsidP="00E516E7">
      <w:pPr>
        <w:spacing w:after="0" w:line="240" w:lineRule="auto"/>
        <w:rPr>
          <w:rFonts w:eastAsia="Calibri"/>
          <w:szCs w:val="24"/>
          <w:lang w:val="ru-RU" w:bidi="ar-SA"/>
        </w:rPr>
      </w:pPr>
      <w:r w:rsidRPr="000357C8">
        <w:rPr>
          <w:rFonts w:eastAsia="Calibri"/>
          <w:szCs w:val="24"/>
          <w:lang w:val="ru-RU" w:bidi="ar-SA"/>
        </w:rPr>
        <w:t>Главный инженер ООО «</w:t>
      </w:r>
      <w:proofErr w:type="gramStart"/>
      <w:r w:rsidRPr="000357C8">
        <w:rPr>
          <w:rFonts w:eastAsia="Calibri"/>
          <w:szCs w:val="24"/>
          <w:lang w:val="ru-RU" w:bidi="ar-SA"/>
        </w:rPr>
        <w:t>СКС»</w:t>
      </w:r>
      <w:r w:rsidRPr="000357C8">
        <w:rPr>
          <w:rFonts w:eastAsia="Calibri"/>
          <w:szCs w:val="24"/>
          <w:lang w:val="ru-RU" w:bidi="ar-SA"/>
        </w:rPr>
        <w:tab/>
      </w:r>
      <w:proofErr w:type="gramEnd"/>
      <w:r w:rsidRPr="000357C8">
        <w:rPr>
          <w:rFonts w:eastAsia="Calibri"/>
          <w:szCs w:val="24"/>
          <w:lang w:val="ru-RU" w:bidi="ar-SA"/>
        </w:rPr>
        <w:tab/>
      </w:r>
      <w:r w:rsidRPr="000357C8">
        <w:rPr>
          <w:rFonts w:eastAsia="Calibri"/>
          <w:szCs w:val="24"/>
          <w:lang w:val="ru-RU" w:bidi="ar-SA"/>
        </w:rPr>
        <w:tab/>
        <w:t xml:space="preserve">                          </w:t>
      </w:r>
      <w:r w:rsidRPr="000357C8">
        <w:rPr>
          <w:rFonts w:eastAsia="Calibri"/>
          <w:szCs w:val="24"/>
          <w:lang w:val="ru-RU" w:bidi="ar-SA"/>
        </w:rPr>
        <w:tab/>
        <w:t xml:space="preserve">            П.Н. Попов</w:t>
      </w:r>
    </w:p>
    <w:p w:rsidR="00E516E7" w:rsidRPr="000357C8" w:rsidRDefault="00E516E7" w:rsidP="00E516E7">
      <w:pPr>
        <w:spacing w:after="0" w:line="240" w:lineRule="auto"/>
        <w:jc w:val="both"/>
        <w:rPr>
          <w:rFonts w:eastAsia="Calibri"/>
          <w:szCs w:val="24"/>
          <w:lang w:val="ru-RU" w:bidi="ar-SA"/>
        </w:rPr>
      </w:pPr>
    </w:p>
    <w:p w:rsidR="00E516E7" w:rsidRPr="000357C8" w:rsidRDefault="00E516E7" w:rsidP="00E516E7">
      <w:pPr>
        <w:spacing w:after="0" w:line="240" w:lineRule="auto"/>
        <w:jc w:val="both"/>
        <w:rPr>
          <w:rFonts w:eastAsia="Calibri"/>
          <w:szCs w:val="24"/>
          <w:lang w:val="ru-RU" w:bidi="ar-SA"/>
        </w:rPr>
      </w:pPr>
      <w:r w:rsidRPr="000357C8">
        <w:rPr>
          <w:rFonts w:eastAsia="Calibri"/>
          <w:szCs w:val="24"/>
          <w:lang w:val="ru-RU" w:bidi="ar-SA"/>
        </w:rPr>
        <w:t xml:space="preserve">Инженер по охране </w:t>
      </w:r>
      <w:proofErr w:type="spellStart"/>
      <w:r w:rsidRPr="000357C8">
        <w:rPr>
          <w:rFonts w:eastAsia="Calibri"/>
          <w:szCs w:val="24"/>
          <w:lang w:val="ru-RU" w:bidi="ar-SA"/>
        </w:rPr>
        <w:t>окр</w:t>
      </w:r>
      <w:proofErr w:type="spellEnd"/>
      <w:r w:rsidRPr="000357C8">
        <w:rPr>
          <w:rFonts w:eastAsia="Calibri"/>
          <w:szCs w:val="24"/>
          <w:lang w:val="ru-RU" w:bidi="ar-SA"/>
        </w:rPr>
        <w:t>. среды (эколог) ООО «</w:t>
      </w:r>
      <w:proofErr w:type="gramStart"/>
      <w:r w:rsidRPr="000357C8">
        <w:rPr>
          <w:rFonts w:eastAsia="Calibri"/>
          <w:szCs w:val="24"/>
          <w:lang w:val="ru-RU" w:bidi="ar-SA"/>
        </w:rPr>
        <w:t xml:space="preserve">СКС»   </w:t>
      </w:r>
      <w:proofErr w:type="gramEnd"/>
      <w:r w:rsidRPr="000357C8">
        <w:rPr>
          <w:rFonts w:eastAsia="Calibri"/>
          <w:szCs w:val="24"/>
          <w:lang w:val="ru-RU" w:bidi="ar-SA"/>
        </w:rPr>
        <w:t xml:space="preserve">                         </w:t>
      </w:r>
      <w:r w:rsidRPr="000357C8">
        <w:rPr>
          <w:rFonts w:eastAsia="Calibri"/>
          <w:szCs w:val="24"/>
          <w:lang w:val="ru-RU" w:bidi="ar-SA"/>
        </w:rPr>
        <w:tab/>
        <w:t>Н.В. Демченко</w:t>
      </w:r>
    </w:p>
    <w:p w:rsidR="00E516E7" w:rsidRPr="0079158B" w:rsidRDefault="00E516E7" w:rsidP="00A35446">
      <w:pPr>
        <w:suppressAutoHyphens/>
        <w:spacing w:after="0" w:line="240" w:lineRule="auto"/>
        <w:jc w:val="center"/>
        <w:rPr>
          <w:rFonts w:ascii="Arial" w:hAnsi="Arial" w:cs="Arial"/>
          <w:sz w:val="20"/>
          <w:szCs w:val="20"/>
          <w:lang w:val="ru-RU"/>
        </w:rPr>
      </w:pPr>
      <w:bookmarkStart w:id="6" w:name="_GoBack"/>
      <w:bookmarkEnd w:id="6"/>
    </w:p>
    <w:sectPr w:rsidR="00E516E7" w:rsidRPr="0079158B" w:rsidSect="00BC2B24">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2D0"/>
    <w:multiLevelType w:val="hybridMultilevel"/>
    <w:tmpl w:val="51D2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B6131"/>
    <w:multiLevelType w:val="hybridMultilevel"/>
    <w:tmpl w:val="3B26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7C74"/>
    <w:multiLevelType w:val="hybridMultilevel"/>
    <w:tmpl w:val="80D61E04"/>
    <w:lvl w:ilvl="0" w:tplc="C68A26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609330C"/>
    <w:multiLevelType w:val="hybridMultilevel"/>
    <w:tmpl w:val="198A2246"/>
    <w:lvl w:ilvl="0" w:tplc="B78E79DE">
      <w:start w:val="1"/>
      <w:numFmt w:val="decimal"/>
      <w:lvlText w:val="%1."/>
      <w:lvlJc w:val="left"/>
      <w:pPr>
        <w:ind w:left="678" w:hanging="360"/>
      </w:pPr>
      <w:rPr>
        <w:rFonts w:ascii="Times New Roman" w:eastAsia="Times New Roman"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79B7EFC"/>
    <w:multiLevelType w:val="hybridMultilevel"/>
    <w:tmpl w:val="375C0EAE"/>
    <w:lvl w:ilvl="0" w:tplc="5B50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13B84"/>
    <w:multiLevelType w:val="hybridMultilevel"/>
    <w:tmpl w:val="CB30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741AB"/>
    <w:multiLevelType w:val="hybridMultilevel"/>
    <w:tmpl w:val="9D007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F64B08"/>
    <w:multiLevelType w:val="hybridMultilevel"/>
    <w:tmpl w:val="8E80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3343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55412"/>
    <w:multiLevelType w:val="hybridMultilevel"/>
    <w:tmpl w:val="DB888E82"/>
    <w:lvl w:ilvl="0" w:tplc="B78E79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3BD3B75"/>
    <w:multiLevelType w:val="hybridMultilevel"/>
    <w:tmpl w:val="28D0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915E7"/>
    <w:multiLevelType w:val="hybridMultilevel"/>
    <w:tmpl w:val="DB888E82"/>
    <w:lvl w:ilvl="0" w:tplc="B78E79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6066009"/>
    <w:multiLevelType w:val="hybridMultilevel"/>
    <w:tmpl w:val="DB888E82"/>
    <w:lvl w:ilvl="0" w:tplc="B78E79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9274176"/>
    <w:multiLevelType w:val="multilevel"/>
    <w:tmpl w:val="AF361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0842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A96ADC"/>
    <w:multiLevelType w:val="multilevel"/>
    <w:tmpl w:val="AF36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DF3CF5"/>
    <w:multiLevelType w:val="hybridMultilevel"/>
    <w:tmpl w:val="0F0A3FB2"/>
    <w:lvl w:ilvl="0" w:tplc="925C7828">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59FA15EF"/>
    <w:multiLevelType w:val="hybridMultilevel"/>
    <w:tmpl w:val="F71C6FA4"/>
    <w:lvl w:ilvl="0" w:tplc="B78E79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393536B"/>
    <w:multiLevelType w:val="hybridMultilevel"/>
    <w:tmpl w:val="FF142F24"/>
    <w:lvl w:ilvl="0" w:tplc="68B086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64D464AF"/>
    <w:multiLevelType w:val="hybridMultilevel"/>
    <w:tmpl w:val="DB888E82"/>
    <w:lvl w:ilvl="0" w:tplc="B78E79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7CC406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541B67"/>
    <w:multiLevelType w:val="hybridMultilevel"/>
    <w:tmpl w:val="FF142F24"/>
    <w:lvl w:ilvl="0" w:tplc="68B086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73E31AAE"/>
    <w:multiLevelType w:val="hybridMultilevel"/>
    <w:tmpl w:val="7422DCBA"/>
    <w:lvl w:ilvl="0" w:tplc="B78E79DE">
      <w:start w:val="1"/>
      <w:numFmt w:val="decimal"/>
      <w:lvlText w:val="%1."/>
      <w:lvlJc w:val="left"/>
      <w:pPr>
        <w:ind w:left="743"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768A4FD6"/>
    <w:multiLevelType w:val="hybridMultilevel"/>
    <w:tmpl w:val="9A54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8"/>
  </w:num>
  <w:num w:numId="4">
    <w:abstractNumId w:val="11"/>
  </w:num>
  <w:num w:numId="5">
    <w:abstractNumId w:val="17"/>
  </w:num>
  <w:num w:numId="6">
    <w:abstractNumId w:val="22"/>
  </w:num>
  <w:num w:numId="7">
    <w:abstractNumId w:val="19"/>
  </w:num>
  <w:num w:numId="8">
    <w:abstractNumId w:val="16"/>
  </w:num>
  <w:num w:numId="9">
    <w:abstractNumId w:val="2"/>
  </w:num>
  <w:num w:numId="10">
    <w:abstractNumId w:val="12"/>
  </w:num>
  <w:num w:numId="11">
    <w:abstractNumId w:val="3"/>
  </w:num>
  <w:num w:numId="12">
    <w:abstractNumId w:val="10"/>
  </w:num>
  <w:num w:numId="13">
    <w:abstractNumId w:val="5"/>
  </w:num>
  <w:num w:numId="14">
    <w:abstractNumId w:val="4"/>
  </w:num>
  <w:num w:numId="15">
    <w:abstractNumId w:val="15"/>
  </w:num>
  <w:num w:numId="16">
    <w:abstractNumId w:val="13"/>
  </w:num>
  <w:num w:numId="17">
    <w:abstractNumId w:val="0"/>
  </w:num>
  <w:num w:numId="18">
    <w:abstractNumId w:val="23"/>
  </w:num>
  <w:num w:numId="19">
    <w:abstractNumId w:val="6"/>
  </w:num>
  <w:num w:numId="20">
    <w:abstractNumId w:val="1"/>
  </w:num>
  <w:num w:numId="21">
    <w:abstractNumId w:val="7"/>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88"/>
    <w:rsid w:val="000034B2"/>
    <w:rsid w:val="00006E76"/>
    <w:rsid w:val="00026C9D"/>
    <w:rsid w:val="000357C8"/>
    <w:rsid w:val="00063715"/>
    <w:rsid w:val="00076FE7"/>
    <w:rsid w:val="00080587"/>
    <w:rsid w:val="000807F0"/>
    <w:rsid w:val="0009250E"/>
    <w:rsid w:val="000A2188"/>
    <w:rsid w:val="000A621F"/>
    <w:rsid w:val="000A74A3"/>
    <w:rsid w:val="000B7503"/>
    <w:rsid w:val="001105CF"/>
    <w:rsid w:val="00123C5D"/>
    <w:rsid w:val="001368D4"/>
    <w:rsid w:val="00164AD6"/>
    <w:rsid w:val="0017321B"/>
    <w:rsid w:val="00180A5F"/>
    <w:rsid w:val="00187060"/>
    <w:rsid w:val="001A4668"/>
    <w:rsid w:val="001B68F1"/>
    <w:rsid w:val="001C6422"/>
    <w:rsid w:val="001C7D0B"/>
    <w:rsid w:val="001D385D"/>
    <w:rsid w:val="001D46BE"/>
    <w:rsid w:val="001F06C8"/>
    <w:rsid w:val="00203026"/>
    <w:rsid w:val="00203374"/>
    <w:rsid w:val="00222D28"/>
    <w:rsid w:val="00234F28"/>
    <w:rsid w:val="00235AE5"/>
    <w:rsid w:val="002557FE"/>
    <w:rsid w:val="00275C8A"/>
    <w:rsid w:val="00281D78"/>
    <w:rsid w:val="0028266C"/>
    <w:rsid w:val="002841FD"/>
    <w:rsid w:val="00291FBA"/>
    <w:rsid w:val="00294AD3"/>
    <w:rsid w:val="00295679"/>
    <w:rsid w:val="002A0CAD"/>
    <w:rsid w:val="002A1905"/>
    <w:rsid w:val="002B0DA6"/>
    <w:rsid w:val="002C6291"/>
    <w:rsid w:val="002E23BF"/>
    <w:rsid w:val="0031175D"/>
    <w:rsid w:val="00314E7D"/>
    <w:rsid w:val="00334D82"/>
    <w:rsid w:val="003565B4"/>
    <w:rsid w:val="00373742"/>
    <w:rsid w:val="003900C5"/>
    <w:rsid w:val="003E6FD0"/>
    <w:rsid w:val="003F0E6D"/>
    <w:rsid w:val="003F4343"/>
    <w:rsid w:val="004115F8"/>
    <w:rsid w:val="004205CC"/>
    <w:rsid w:val="0045687E"/>
    <w:rsid w:val="004630E3"/>
    <w:rsid w:val="00492BA5"/>
    <w:rsid w:val="00494737"/>
    <w:rsid w:val="004A1425"/>
    <w:rsid w:val="004B5D05"/>
    <w:rsid w:val="004E3BC9"/>
    <w:rsid w:val="004E3BCB"/>
    <w:rsid w:val="004F2323"/>
    <w:rsid w:val="00501924"/>
    <w:rsid w:val="00536AF3"/>
    <w:rsid w:val="00543554"/>
    <w:rsid w:val="00544CE4"/>
    <w:rsid w:val="00550702"/>
    <w:rsid w:val="0058179E"/>
    <w:rsid w:val="005909C6"/>
    <w:rsid w:val="00592C11"/>
    <w:rsid w:val="005A03AD"/>
    <w:rsid w:val="005A2F78"/>
    <w:rsid w:val="005B1B6D"/>
    <w:rsid w:val="005B4CAF"/>
    <w:rsid w:val="005C3147"/>
    <w:rsid w:val="005D1BE0"/>
    <w:rsid w:val="00601AF4"/>
    <w:rsid w:val="00603197"/>
    <w:rsid w:val="006048A7"/>
    <w:rsid w:val="00610794"/>
    <w:rsid w:val="00610845"/>
    <w:rsid w:val="00624DEC"/>
    <w:rsid w:val="006453C7"/>
    <w:rsid w:val="00646A73"/>
    <w:rsid w:val="00654DD9"/>
    <w:rsid w:val="006645E7"/>
    <w:rsid w:val="006855A9"/>
    <w:rsid w:val="006871F4"/>
    <w:rsid w:val="00696AE0"/>
    <w:rsid w:val="006A23B5"/>
    <w:rsid w:val="006B0898"/>
    <w:rsid w:val="006D3B3D"/>
    <w:rsid w:val="006E7A12"/>
    <w:rsid w:val="006F124E"/>
    <w:rsid w:val="006F7DAE"/>
    <w:rsid w:val="0072680B"/>
    <w:rsid w:val="00737B03"/>
    <w:rsid w:val="00747062"/>
    <w:rsid w:val="007645AB"/>
    <w:rsid w:val="007667D4"/>
    <w:rsid w:val="00782EDE"/>
    <w:rsid w:val="00784610"/>
    <w:rsid w:val="0079158B"/>
    <w:rsid w:val="00796039"/>
    <w:rsid w:val="007A64FE"/>
    <w:rsid w:val="007A7248"/>
    <w:rsid w:val="007B7D68"/>
    <w:rsid w:val="007C6FF0"/>
    <w:rsid w:val="007D0EAE"/>
    <w:rsid w:val="007E238D"/>
    <w:rsid w:val="00815F62"/>
    <w:rsid w:val="008203F9"/>
    <w:rsid w:val="00821F92"/>
    <w:rsid w:val="008253B9"/>
    <w:rsid w:val="00825D4E"/>
    <w:rsid w:val="00827A28"/>
    <w:rsid w:val="008400C4"/>
    <w:rsid w:val="00861399"/>
    <w:rsid w:val="00871CC7"/>
    <w:rsid w:val="008814C6"/>
    <w:rsid w:val="008906D4"/>
    <w:rsid w:val="008B418C"/>
    <w:rsid w:val="008C3851"/>
    <w:rsid w:val="008E143B"/>
    <w:rsid w:val="008E7469"/>
    <w:rsid w:val="0091222D"/>
    <w:rsid w:val="0092567C"/>
    <w:rsid w:val="00940451"/>
    <w:rsid w:val="00945CCE"/>
    <w:rsid w:val="0096126E"/>
    <w:rsid w:val="00966188"/>
    <w:rsid w:val="009661C8"/>
    <w:rsid w:val="0096650D"/>
    <w:rsid w:val="009678CB"/>
    <w:rsid w:val="00971AEE"/>
    <w:rsid w:val="009772F2"/>
    <w:rsid w:val="00980ACC"/>
    <w:rsid w:val="00983866"/>
    <w:rsid w:val="0099229E"/>
    <w:rsid w:val="009936CA"/>
    <w:rsid w:val="009951F4"/>
    <w:rsid w:val="009A6A55"/>
    <w:rsid w:val="009B05CC"/>
    <w:rsid w:val="009B322B"/>
    <w:rsid w:val="009D4464"/>
    <w:rsid w:val="009E33AA"/>
    <w:rsid w:val="009E5873"/>
    <w:rsid w:val="009F0108"/>
    <w:rsid w:val="00A327F7"/>
    <w:rsid w:val="00A35446"/>
    <w:rsid w:val="00A428AE"/>
    <w:rsid w:val="00A51180"/>
    <w:rsid w:val="00A56D15"/>
    <w:rsid w:val="00A57DDB"/>
    <w:rsid w:val="00A61B53"/>
    <w:rsid w:val="00A638C0"/>
    <w:rsid w:val="00A64462"/>
    <w:rsid w:val="00A775F0"/>
    <w:rsid w:val="00A86A7C"/>
    <w:rsid w:val="00A87A74"/>
    <w:rsid w:val="00A913FB"/>
    <w:rsid w:val="00A92DC7"/>
    <w:rsid w:val="00AA1C98"/>
    <w:rsid w:val="00AB45E3"/>
    <w:rsid w:val="00AB7B36"/>
    <w:rsid w:val="00AC2BC7"/>
    <w:rsid w:val="00AC3CEF"/>
    <w:rsid w:val="00AD2568"/>
    <w:rsid w:val="00AE1591"/>
    <w:rsid w:val="00AF4B5A"/>
    <w:rsid w:val="00B047AE"/>
    <w:rsid w:val="00B05BA8"/>
    <w:rsid w:val="00B10EF1"/>
    <w:rsid w:val="00B320C8"/>
    <w:rsid w:val="00B3211A"/>
    <w:rsid w:val="00B611C3"/>
    <w:rsid w:val="00B61970"/>
    <w:rsid w:val="00B659A4"/>
    <w:rsid w:val="00B66D0F"/>
    <w:rsid w:val="00B93EA3"/>
    <w:rsid w:val="00B94A74"/>
    <w:rsid w:val="00BA3476"/>
    <w:rsid w:val="00BA46CC"/>
    <w:rsid w:val="00BB651E"/>
    <w:rsid w:val="00BC2B24"/>
    <w:rsid w:val="00BE0814"/>
    <w:rsid w:val="00BE336F"/>
    <w:rsid w:val="00BF2B7E"/>
    <w:rsid w:val="00BF41FD"/>
    <w:rsid w:val="00C20143"/>
    <w:rsid w:val="00C23061"/>
    <w:rsid w:val="00C337A2"/>
    <w:rsid w:val="00C75573"/>
    <w:rsid w:val="00CC315E"/>
    <w:rsid w:val="00CC4565"/>
    <w:rsid w:val="00CC53FC"/>
    <w:rsid w:val="00CE24A6"/>
    <w:rsid w:val="00CF08E7"/>
    <w:rsid w:val="00CF3B13"/>
    <w:rsid w:val="00D002D6"/>
    <w:rsid w:val="00D007C2"/>
    <w:rsid w:val="00D029F5"/>
    <w:rsid w:val="00D070CD"/>
    <w:rsid w:val="00D163A8"/>
    <w:rsid w:val="00D17B38"/>
    <w:rsid w:val="00D34DB2"/>
    <w:rsid w:val="00D4063D"/>
    <w:rsid w:val="00D4100E"/>
    <w:rsid w:val="00D47CA4"/>
    <w:rsid w:val="00D61BB6"/>
    <w:rsid w:val="00D62A66"/>
    <w:rsid w:val="00D6750B"/>
    <w:rsid w:val="00D76E8E"/>
    <w:rsid w:val="00D911AC"/>
    <w:rsid w:val="00D928C3"/>
    <w:rsid w:val="00DA61EC"/>
    <w:rsid w:val="00DB7B3A"/>
    <w:rsid w:val="00DD0CBC"/>
    <w:rsid w:val="00DF5887"/>
    <w:rsid w:val="00E0539A"/>
    <w:rsid w:val="00E0703C"/>
    <w:rsid w:val="00E07AA4"/>
    <w:rsid w:val="00E2606E"/>
    <w:rsid w:val="00E27C66"/>
    <w:rsid w:val="00E34EDD"/>
    <w:rsid w:val="00E516E7"/>
    <w:rsid w:val="00E572F6"/>
    <w:rsid w:val="00E60B5C"/>
    <w:rsid w:val="00E62D73"/>
    <w:rsid w:val="00E73C6F"/>
    <w:rsid w:val="00E916CC"/>
    <w:rsid w:val="00E91FB0"/>
    <w:rsid w:val="00E93023"/>
    <w:rsid w:val="00EB06E2"/>
    <w:rsid w:val="00EB0AF6"/>
    <w:rsid w:val="00EB6496"/>
    <w:rsid w:val="00EC2860"/>
    <w:rsid w:val="00EC65DD"/>
    <w:rsid w:val="00ED03C6"/>
    <w:rsid w:val="00F01616"/>
    <w:rsid w:val="00F17B42"/>
    <w:rsid w:val="00F23149"/>
    <w:rsid w:val="00F35400"/>
    <w:rsid w:val="00F537F2"/>
    <w:rsid w:val="00F628D9"/>
    <w:rsid w:val="00F64B17"/>
    <w:rsid w:val="00F650D8"/>
    <w:rsid w:val="00F752AC"/>
    <w:rsid w:val="00F7747B"/>
    <w:rsid w:val="00F845DC"/>
    <w:rsid w:val="00F908B5"/>
    <w:rsid w:val="00F91310"/>
    <w:rsid w:val="00FA403C"/>
    <w:rsid w:val="00FC66FB"/>
    <w:rsid w:val="00FD2FBB"/>
    <w:rsid w:val="00FD4C63"/>
    <w:rsid w:val="00FF0F57"/>
    <w:rsid w:val="00FF1123"/>
    <w:rsid w:val="00FF40E1"/>
    <w:rsid w:val="00FF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3D0A-F1EC-4B9F-8984-DACB2332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BF"/>
  </w:style>
  <w:style w:type="paragraph" w:styleId="1">
    <w:name w:val="heading 1"/>
    <w:basedOn w:val="a"/>
    <w:next w:val="a"/>
    <w:link w:val="10"/>
    <w:uiPriority w:val="9"/>
    <w:qFormat/>
    <w:rsid w:val="00F65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5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50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650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50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50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650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650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650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650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650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650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650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650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650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650D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650D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650D8"/>
    <w:pPr>
      <w:spacing w:line="240" w:lineRule="auto"/>
    </w:pPr>
    <w:rPr>
      <w:b/>
      <w:bCs/>
      <w:color w:val="4F81BD" w:themeColor="accent1"/>
      <w:sz w:val="18"/>
      <w:szCs w:val="18"/>
    </w:rPr>
  </w:style>
  <w:style w:type="paragraph" w:styleId="a4">
    <w:name w:val="Title"/>
    <w:basedOn w:val="a"/>
    <w:next w:val="a"/>
    <w:link w:val="a5"/>
    <w:uiPriority w:val="10"/>
    <w:qFormat/>
    <w:rsid w:val="00F65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650D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650D8"/>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F650D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650D8"/>
    <w:rPr>
      <w:b/>
      <w:bCs/>
    </w:rPr>
  </w:style>
  <w:style w:type="character" w:styleId="a9">
    <w:name w:val="Emphasis"/>
    <w:basedOn w:val="a0"/>
    <w:uiPriority w:val="20"/>
    <w:qFormat/>
    <w:rsid w:val="00F650D8"/>
    <w:rPr>
      <w:i/>
      <w:iCs/>
    </w:rPr>
  </w:style>
  <w:style w:type="paragraph" w:styleId="aa">
    <w:name w:val="No Spacing"/>
    <w:uiPriority w:val="1"/>
    <w:qFormat/>
    <w:rsid w:val="00F650D8"/>
    <w:pPr>
      <w:spacing w:after="0" w:line="240" w:lineRule="auto"/>
    </w:pPr>
  </w:style>
  <w:style w:type="paragraph" w:styleId="ab">
    <w:name w:val="List Paragraph"/>
    <w:basedOn w:val="a"/>
    <w:uiPriority w:val="34"/>
    <w:qFormat/>
    <w:rsid w:val="00F650D8"/>
    <w:pPr>
      <w:ind w:left="720"/>
      <w:contextualSpacing/>
    </w:pPr>
  </w:style>
  <w:style w:type="paragraph" w:styleId="21">
    <w:name w:val="Quote"/>
    <w:basedOn w:val="a"/>
    <w:next w:val="a"/>
    <w:link w:val="22"/>
    <w:uiPriority w:val="29"/>
    <w:qFormat/>
    <w:rsid w:val="00F650D8"/>
    <w:rPr>
      <w:i/>
      <w:iCs/>
      <w:color w:val="000000" w:themeColor="text1"/>
    </w:rPr>
  </w:style>
  <w:style w:type="character" w:customStyle="1" w:styleId="22">
    <w:name w:val="Цитата 2 Знак"/>
    <w:basedOn w:val="a0"/>
    <w:link w:val="21"/>
    <w:uiPriority w:val="29"/>
    <w:rsid w:val="00F650D8"/>
    <w:rPr>
      <w:i/>
      <w:iCs/>
      <w:color w:val="000000" w:themeColor="text1"/>
    </w:rPr>
  </w:style>
  <w:style w:type="paragraph" w:styleId="ac">
    <w:name w:val="Intense Quote"/>
    <w:basedOn w:val="a"/>
    <w:next w:val="a"/>
    <w:link w:val="ad"/>
    <w:uiPriority w:val="30"/>
    <w:qFormat/>
    <w:rsid w:val="00F650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650D8"/>
    <w:rPr>
      <w:b/>
      <w:bCs/>
      <w:i/>
      <w:iCs/>
      <w:color w:val="4F81BD" w:themeColor="accent1"/>
    </w:rPr>
  </w:style>
  <w:style w:type="character" w:styleId="ae">
    <w:name w:val="Subtle Emphasis"/>
    <w:basedOn w:val="a0"/>
    <w:uiPriority w:val="19"/>
    <w:qFormat/>
    <w:rsid w:val="00F650D8"/>
    <w:rPr>
      <w:i/>
      <w:iCs/>
      <w:color w:val="808080" w:themeColor="text1" w:themeTint="7F"/>
    </w:rPr>
  </w:style>
  <w:style w:type="character" w:styleId="af">
    <w:name w:val="Intense Emphasis"/>
    <w:basedOn w:val="a0"/>
    <w:uiPriority w:val="21"/>
    <w:qFormat/>
    <w:rsid w:val="00F650D8"/>
    <w:rPr>
      <w:b/>
      <w:bCs/>
      <w:i/>
      <w:iCs/>
      <w:color w:val="4F81BD" w:themeColor="accent1"/>
    </w:rPr>
  </w:style>
  <w:style w:type="character" w:styleId="af0">
    <w:name w:val="Subtle Reference"/>
    <w:basedOn w:val="a0"/>
    <w:uiPriority w:val="31"/>
    <w:qFormat/>
    <w:rsid w:val="00F650D8"/>
    <w:rPr>
      <w:smallCaps/>
      <w:color w:val="C0504D" w:themeColor="accent2"/>
      <w:u w:val="single"/>
    </w:rPr>
  </w:style>
  <w:style w:type="character" w:styleId="af1">
    <w:name w:val="Intense Reference"/>
    <w:basedOn w:val="a0"/>
    <w:uiPriority w:val="32"/>
    <w:qFormat/>
    <w:rsid w:val="00F650D8"/>
    <w:rPr>
      <w:b/>
      <w:bCs/>
      <w:smallCaps/>
      <w:color w:val="C0504D" w:themeColor="accent2"/>
      <w:spacing w:val="5"/>
      <w:u w:val="single"/>
    </w:rPr>
  </w:style>
  <w:style w:type="character" w:styleId="af2">
    <w:name w:val="Book Title"/>
    <w:basedOn w:val="a0"/>
    <w:uiPriority w:val="33"/>
    <w:qFormat/>
    <w:rsid w:val="00F650D8"/>
    <w:rPr>
      <w:b/>
      <w:bCs/>
      <w:smallCaps/>
      <w:spacing w:val="5"/>
    </w:rPr>
  </w:style>
  <w:style w:type="paragraph" w:styleId="af3">
    <w:name w:val="TOC Heading"/>
    <w:basedOn w:val="1"/>
    <w:next w:val="a"/>
    <w:uiPriority w:val="39"/>
    <w:semiHidden/>
    <w:unhideWhenUsed/>
    <w:qFormat/>
    <w:rsid w:val="00F650D8"/>
    <w:pPr>
      <w:outlineLvl w:val="9"/>
    </w:pPr>
  </w:style>
  <w:style w:type="table" w:styleId="af4">
    <w:name w:val="Table Grid"/>
    <w:basedOn w:val="a1"/>
    <w:uiPriority w:val="59"/>
    <w:rsid w:val="0096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737B0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37B03"/>
    <w:rPr>
      <w:rFonts w:ascii="Segoe UI" w:hAnsi="Segoe UI" w:cs="Segoe UI"/>
      <w:sz w:val="18"/>
      <w:szCs w:val="18"/>
    </w:rPr>
  </w:style>
  <w:style w:type="character" w:customStyle="1" w:styleId="FontStyle15">
    <w:name w:val="Font Style15"/>
    <w:uiPriority w:val="99"/>
    <w:rsid w:val="002A1905"/>
    <w:rPr>
      <w:rFonts w:ascii="Times New Roman" w:hAnsi="Times New Roman" w:cs="Times New Roman" w:hint="default"/>
      <w:sz w:val="22"/>
      <w:szCs w:val="22"/>
    </w:rPr>
  </w:style>
  <w:style w:type="paragraph" w:customStyle="1" w:styleId="docdata">
    <w:name w:val="docdata"/>
    <w:aliases w:val="docy,v5,4844,bqiaagaaeyqcaaagiaiaaanxeaaabwuqaaaaaaaaaaaaaaaaaaaaaaaaaaaaaaaaaaaaaaaaaaaaaaaaaaaaaaaaaaaaaaaaaaaaaaaaaaaaaaaaaaaaaaaaaaaaaaaaaaaaaaaaaaaaaaaaaaaaaaaaaaaaaaaaaaaaaaaaaaaaaaaaaaaaaaaaaaaaaaaaaaaaaaaaaaaaaaaaaaaaaaaaaaaaaaaaaaaaaaaa"/>
    <w:basedOn w:val="a"/>
    <w:rsid w:val="00235AE5"/>
    <w:pPr>
      <w:spacing w:before="100" w:beforeAutospacing="1" w:after="100" w:afterAutospacing="1" w:line="240" w:lineRule="auto"/>
    </w:pPr>
    <w:rPr>
      <w:rFonts w:eastAsia="Times New Roman"/>
      <w:szCs w:val="24"/>
      <w:lang w:val="ru-RU" w:eastAsia="ru-RU" w:bidi="ar-SA"/>
    </w:rPr>
  </w:style>
  <w:style w:type="paragraph" w:styleId="af7">
    <w:name w:val="Normal (Web)"/>
    <w:basedOn w:val="a"/>
    <w:uiPriority w:val="99"/>
    <w:unhideWhenUsed/>
    <w:rsid w:val="00235AE5"/>
    <w:pPr>
      <w:spacing w:before="100" w:beforeAutospacing="1" w:after="100" w:afterAutospacing="1" w:line="240" w:lineRule="auto"/>
    </w:pPr>
    <w:rPr>
      <w:rFonts w:eastAsia="Times New Roman"/>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840">
      <w:bodyDiv w:val="1"/>
      <w:marLeft w:val="0"/>
      <w:marRight w:val="0"/>
      <w:marTop w:val="0"/>
      <w:marBottom w:val="0"/>
      <w:divBdr>
        <w:top w:val="none" w:sz="0" w:space="0" w:color="auto"/>
        <w:left w:val="none" w:sz="0" w:space="0" w:color="auto"/>
        <w:bottom w:val="none" w:sz="0" w:space="0" w:color="auto"/>
        <w:right w:val="none" w:sz="0" w:space="0" w:color="auto"/>
      </w:divBdr>
    </w:div>
    <w:div w:id="119306152">
      <w:bodyDiv w:val="1"/>
      <w:marLeft w:val="0"/>
      <w:marRight w:val="0"/>
      <w:marTop w:val="0"/>
      <w:marBottom w:val="0"/>
      <w:divBdr>
        <w:top w:val="none" w:sz="0" w:space="0" w:color="auto"/>
        <w:left w:val="none" w:sz="0" w:space="0" w:color="auto"/>
        <w:bottom w:val="none" w:sz="0" w:space="0" w:color="auto"/>
        <w:right w:val="none" w:sz="0" w:space="0" w:color="auto"/>
      </w:divBdr>
    </w:div>
    <w:div w:id="355423407">
      <w:bodyDiv w:val="1"/>
      <w:marLeft w:val="0"/>
      <w:marRight w:val="0"/>
      <w:marTop w:val="0"/>
      <w:marBottom w:val="0"/>
      <w:divBdr>
        <w:top w:val="none" w:sz="0" w:space="0" w:color="auto"/>
        <w:left w:val="none" w:sz="0" w:space="0" w:color="auto"/>
        <w:bottom w:val="none" w:sz="0" w:space="0" w:color="auto"/>
        <w:right w:val="none" w:sz="0" w:space="0" w:color="auto"/>
      </w:divBdr>
    </w:div>
    <w:div w:id="381828682">
      <w:bodyDiv w:val="1"/>
      <w:marLeft w:val="0"/>
      <w:marRight w:val="0"/>
      <w:marTop w:val="0"/>
      <w:marBottom w:val="0"/>
      <w:divBdr>
        <w:top w:val="none" w:sz="0" w:space="0" w:color="auto"/>
        <w:left w:val="none" w:sz="0" w:space="0" w:color="auto"/>
        <w:bottom w:val="none" w:sz="0" w:space="0" w:color="auto"/>
        <w:right w:val="none" w:sz="0" w:space="0" w:color="auto"/>
      </w:divBdr>
    </w:div>
    <w:div w:id="526330807">
      <w:bodyDiv w:val="1"/>
      <w:marLeft w:val="0"/>
      <w:marRight w:val="0"/>
      <w:marTop w:val="0"/>
      <w:marBottom w:val="0"/>
      <w:divBdr>
        <w:top w:val="none" w:sz="0" w:space="0" w:color="auto"/>
        <w:left w:val="none" w:sz="0" w:space="0" w:color="auto"/>
        <w:bottom w:val="none" w:sz="0" w:space="0" w:color="auto"/>
        <w:right w:val="none" w:sz="0" w:space="0" w:color="auto"/>
      </w:divBdr>
    </w:div>
    <w:div w:id="760301907">
      <w:bodyDiv w:val="1"/>
      <w:marLeft w:val="0"/>
      <w:marRight w:val="0"/>
      <w:marTop w:val="0"/>
      <w:marBottom w:val="0"/>
      <w:divBdr>
        <w:top w:val="none" w:sz="0" w:space="0" w:color="auto"/>
        <w:left w:val="none" w:sz="0" w:space="0" w:color="auto"/>
        <w:bottom w:val="none" w:sz="0" w:space="0" w:color="auto"/>
        <w:right w:val="none" w:sz="0" w:space="0" w:color="auto"/>
      </w:divBdr>
    </w:div>
    <w:div w:id="1147355031">
      <w:bodyDiv w:val="1"/>
      <w:marLeft w:val="0"/>
      <w:marRight w:val="0"/>
      <w:marTop w:val="0"/>
      <w:marBottom w:val="0"/>
      <w:divBdr>
        <w:top w:val="none" w:sz="0" w:space="0" w:color="auto"/>
        <w:left w:val="none" w:sz="0" w:space="0" w:color="auto"/>
        <w:bottom w:val="none" w:sz="0" w:space="0" w:color="auto"/>
        <w:right w:val="none" w:sz="0" w:space="0" w:color="auto"/>
      </w:divBdr>
    </w:div>
    <w:div w:id="1471898098">
      <w:bodyDiv w:val="1"/>
      <w:marLeft w:val="0"/>
      <w:marRight w:val="0"/>
      <w:marTop w:val="0"/>
      <w:marBottom w:val="0"/>
      <w:divBdr>
        <w:top w:val="none" w:sz="0" w:space="0" w:color="auto"/>
        <w:left w:val="none" w:sz="0" w:space="0" w:color="auto"/>
        <w:bottom w:val="none" w:sz="0" w:space="0" w:color="auto"/>
        <w:right w:val="none" w:sz="0" w:space="0" w:color="auto"/>
      </w:divBdr>
    </w:div>
    <w:div w:id="1927036144">
      <w:bodyDiv w:val="1"/>
      <w:marLeft w:val="0"/>
      <w:marRight w:val="0"/>
      <w:marTop w:val="0"/>
      <w:marBottom w:val="0"/>
      <w:divBdr>
        <w:top w:val="none" w:sz="0" w:space="0" w:color="auto"/>
        <w:left w:val="none" w:sz="0" w:space="0" w:color="auto"/>
        <w:bottom w:val="none" w:sz="0" w:space="0" w:color="auto"/>
        <w:right w:val="none" w:sz="0" w:space="0" w:color="auto"/>
      </w:divBdr>
    </w:div>
    <w:div w:id="1991909452">
      <w:bodyDiv w:val="1"/>
      <w:marLeft w:val="0"/>
      <w:marRight w:val="0"/>
      <w:marTop w:val="0"/>
      <w:marBottom w:val="0"/>
      <w:divBdr>
        <w:top w:val="none" w:sz="0" w:space="0" w:color="auto"/>
        <w:left w:val="none" w:sz="0" w:space="0" w:color="auto"/>
        <w:bottom w:val="none" w:sz="0" w:space="0" w:color="auto"/>
        <w:right w:val="none" w:sz="0" w:space="0" w:color="auto"/>
      </w:divBdr>
    </w:div>
    <w:div w:id="2089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Zatulveter_SV</dc:creator>
  <cp:keywords/>
  <dc:description/>
  <cp:lastModifiedBy>Demchenko Nataliya</cp:lastModifiedBy>
  <cp:revision>73</cp:revision>
  <cp:lastPrinted>2020-07-16T07:35:00Z</cp:lastPrinted>
  <dcterms:created xsi:type="dcterms:W3CDTF">2020-07-16T04:53:00Z</dcterms:created>
  <dcterms:modified xsi:type="dcterms:W3CDTF">2021-11-16T06:38:00Z</dcterms:modified>
</cp:coreProperties>
</file>