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071D" w14:textId="77777777" w:rsidR="006F358A" w:rsidRDefault="00A14EBE">
      <w:pPr>
        <w:ind w:left="5664" w:right="-6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1.2</w:t>
      </w:r>
    </w:p>
    <w:p w14:paraId="1A1FCAF0" w14:textId="77777777" w:rsidR="006F358A" w:rsidRDefault="00A14EBE">
      <w:pPr>
        <w:ind w:right="-61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ГПХ/</w:t>
      </w:r>
      <w:r>
        <w:rPr>
          <w:rStyle w:val="62"/>
          <w:rFonts w:eastAsia="Arial Unicode MS"/>
          <w:sz w:val="22"/>
          <w:szCs w:val="22"/>
        </w:rPr>
        <w:t>ННГП 20-21</w:t>
      </w:r>
      <w:r>
        <w:rPr>
          <w:sz w:val="22"/>
          <w:szCs w:val="22"/>
        </w:rPr>
        <w:t xml:space="preserve"> -1сп </w:t>
      </w:r>
    </w:p>
    <w:p w14:paraId="50B92623" w14:textId="77777777" w:rsidR="006F358A" w:rsidRDefault="00A14EBE">
      <w:pPr>
        <w:ind w:right="-61"/>
        <w:jc w:val="right"/>
        <w:rPr>
          <w:sz w:val="22"/>
          <w:szCs w:val="22"/>
        </w:rPr>
      </w:pPr>
      <w:r>
        <w:rPr>
          <w:sz w:val="22"/>
          <w:szCs w:val="22"/>
        </w:rPr>
        <w:t>от __________2021г.</w:t>
      </w:r>
    </w:p>
    <w:tbl>
      <w:tblPr>
        <w:tblpPr w:leftFromText="180" w:rightFromText="180" w:vertAnchor="page" w:horzAnchor="page" w:tblpX="4018" w:tblpY="1441"/>
        <w:tblW w:w="7371" w:type="dxa"/>
        <w:tblLayout w:type="fixed"/>
        <w:tblLook w:val="0000" w:firstRow="0" w:lastRow="0" w:firstColumn="0" w:lastColumn="0" w:noHBand="0" w:noVBand="0"/>
      </w:tblPr>
      <w:tblGrid>
        <w:gridCol w:w="7371"/>
      </w:tblGrid>
      <w:tr w:rsidR="006F358A" w14:paraId="2D993E8C" w14:textId="77777777">
        <w:trPr>
          <w:cantSplit/>
          <w:trHeight w:val="1570"/>
        </w:trPr>
        <w:tc>
          <w:tcPr>
            <w:tcW w:w="7371" w:type="dxa"/>
          </w:tcPr>
          <w:p w14:paraId="69F8FB75" w14:textId="77777777" w:rsidR="006F358A" w:rsidRDefault="00A14E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УТВЕРЖДАЮ</w:t>
            </w:r>
          </w:p>
          <w:p w14:paraId="0FD3A32E" w14:textId="77777777" w:rsidR="006F358A" w:rsidRDefault="006F358A">
            <w:pPr>
              <w:ind w:left="2952"/>
              <w:rPr>
                <w:color w:val="000000"/>
              </w:rPr>
            </w:pPr>
          </w:p>
          <w:p w14:paraId="4527CFDC" w14:textId="77777777" w:rsidR="006F358A" w:rsidRDefault="00A14EBE">
            <w:pPr>
              <w:ind w:left="2952"/>
              <w:rPr>
                <w:color w:val="000000"/>
              </w:rPr>
            </w:pPr>
            <w:r>
              <w:rPr>
                <w:color w:val="000000"/>
              </w:rPr>
              <w:t>Технический директор</w:t>
            </w:r>
          </w:p>
          <w:p w14:paraId="235E14F3" w14:textId="77777777" w:rsidR="006F358A" w:rsidRDefault="00A14EBE">
            <w:pPr>
              <w:ind w:left="2952"/>
              <w:rPr>
                <w:color w:val="000000"/>
              </w:rPr>
            </w:pPr>
            <w:r>
              <w:rPr>
                <w:color w:val="000000"/>
              </w:rPr>
              <w:t>ООО «ННГП»</w:t>
            </w:r>
          </w:p>
          <w:p w14:paraId="6B566293" w14:textId="77777777" w:rsidR="006F358A" w:rsidRDefault="00A14EB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____________</w:t>
            </w:r>
            <w:r>
              <w:t xml:space="preserve"> </w:t>
            </w:r>
            <w:r>
              <w:rPr>
                <w:color w:val="000000"/>
              </w:rPr>
              <w:t>А.Н. Овечкин</w:t>
            </w:r>
          </w:p>
          <w:p w14:paraId="6C10995C" w14:textId="77777777" w:rsidR="006F358A" w:rsidRDefault="00A14EB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«____» ____________ 20___г.</w:t>
            </w:r>
          </w:p>
          <w:p w14:paraId="53D85748" w14:textId="77777777" w:rsidR="006F358A" w:rsidRDefault="006F358A">
            <w:pPr>
              <w:ind w:left="2952"/>
              <w:rPr>
                <w:b/>
                <w:color w:val="000000"/>
              </w:rPr>
            </w:pPr>
          </w:p>
        </w:tc>
      </w:tr>
    </w:tbl>
    <w:p w14:paraId="6B014F15" w14:textId="77777777" w:rsidR="006F358A" w:rsidRDefault="006F358A">
      <w:pPr>
        <w:pStyle w:val="8"/>
        <w:keepNext w:val="0"/>
        <w:widowControl w:val="0"/>
        <w:rPr>
          <w:color w:val="000000"/>
          <w:sz w:val="24"/>
          <w:szCs w:val="24"/>
        </w:rPr>
      </w:pPr>
    </w:p>
    <w:p w14:paraId="2C43CABF" w14:textId="77777777" w:rsidR="006F358A" w:rsidRDefault="006F358A">
      <w:pPr>
        <w:pStyle w:val="1"/>
        <w:jc w:val="center"/>
        <w:rPr>
          <w:color w:val="000000"/>
          <w:sz w:val="32"/>
          <w:szCs w:val="23"/>
        </w:rPr>
      </w:pPr>
    </w:p>
    <w:p w14:paraId="3FC5CD70" w14:textId="77777777" w:rsidR="006F358A" w:rsidRDefault="006F358A">
      <w:pPr>
        <w:pStyle w:val="1"/>
        <w:jc w:val="center"/>
        <w:rPr>
          <w:color w:val="000000"/>
          <w:sz w:val="32"/>
          <w:szCs w:val="23"/>
        </w:rPr>
      </w:pPr>
    </w:p>
    <w:p w14:paraId="2267298A" w14:textId="77777777" w:rsidR="006F358A" w:rsidRDefault="006F358A">
      <w:pPr>
        <w:pStyle w:val="1"/>
        <w:jc w:val="center"/>
        <w:rPr>
          <w:color w:val="000000"/>
          <w:sz w:val="32"/>
          <w:szCs w:val="23"/>
        </w:rPr>
      </w:pPr>
    </w:p>
    <w:p w14:paraId="6AB16387" w14:textId="77777777" w:rsidR="006F358A" w:rsidRDefault="006F358A">
      <w:pPr>
        <w:pStyle w:val="1"/>
        <w:jc w:val="center"/>
        <w:rPr>
          <w:color w:val="000000"/>
          <w:sz w:val="32"/>
          <w:szCs w:val="23"/>
        </w:rPr>
      </w:pPr>
    </w:p>
    <w:p w14:paraId="32442E6D" w14:textId="77777777" w:rsidR="006F358A" w:rsidRDefault="006F358A">
      <w:pPr>
        <w:pStyle w:val="1"/>
        <w:jc w:val="center"/>
        <w:rPr>
          <w:color w:val="000000"/>
          <w:sz w:val="32"/>
          <w:szCs w:val="23"/>
        </w:rPr>
      </w:pPr>
    </w:p>
    <w:p w14:paraId="7CB5D327" w14:textId="77777777" w:rsidR="006F358A" w:rsidRDefault="00A14EBE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32"/>
          <w:szCs w:val="23"/>
        </w:rPr>
        <w:t xml:space="preserve"> </w:t>
      </w:r>
    </w:p>
    <w:p w14:paraId="66726AEA" w14:textId="77777777" w:rsidR="006F358A" w:rsidRDefault="00A14EBE">
      <w:pPr>
        <w:pStyle w:val="1"/>
        <w:jc w:val="center"/>
        <w:rPr>
          <w:b/>
          <w:i/>
          <w:color w:val="000000"/>
          <w:sz w:val="32"/>
          <w:szCs w:val="23"/>
        </w:rPr>
      </w:pPr>
      <w:r>
        <w:rPr>
          <w:b/>
          <w:i/>
          <w:color w:val="000000"/>
          <w:sz w:val="32"/>
          <w:szCs w:val="23"/>
        </w:rPr>
        <w:t>Задание на проектирование</w:t>
      </w:r>
    </w:p>
    <w:p w14:paraId="4E7C74A4" w14:textId="77777777" w:rsidR="006F358A" w:rsidRDefault="006F358A">
      <w:pPr>
        <w:rPr>
          <w:sz w:val="8"/>
          <w:szCs w:val="8"/>
        </w:rPr>
      </w:pPr>
    </w:p>
    <w:p w14:paraId="1793850F" w14:textId="77777777" w:rsidR="006F358A" w:rsidRDefault="00A14EBE">
      <w:pPr>
        <w:pStyle w:val="1"/>
        <w:jc w:val="center"/>
        <w:rPr>
          <w:b/>
          <w:bCs/>
        </w:rPr>
      </w:pPr>
      <w:r>
        <w:rPr>
          <w:b/>
          <w:bCs/>
        </w:rPr>
        <w:t xml:space="preserve">Выполнение расчетов для разработки </w:t>
      </w:r>
      <w:r>
        <w:rPr>
          <w:b/>
          <w:bCs/>
        </w:rPr>
        <w:t xml:space="preserve">марок КМ, КЖ рабочей документации </w:t>
      </w:r>
    </w:p>
    <w:p w14:paraId="11643CE3" w14:textId="77777777" w:rsidR="006F358A" w:rsidRDefault="00A14EBE">
      <w:pPr>
        <w:jc w:val="center"/>
      </w:pPr>
      <w:r>
        <w:rPr>
          <w:bCs/>
        </w:rPr>
        <w:t>на новое строительство «Амурский газохимический комплекс (ГХК). Объекты общезаводского хозяйства. Титул 6940 -Трубопроводная эстакада предзаводской и подсобной зоны.</w:t>
      </w:r>
    </w:p>
    <w:tbl>
      <w:tblPr>
        <w:tblW w:w="101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0"/>
        <w:gridCol w:w="567"/>
        <w:gridCol w:w="5921"/>
      </w:tblGrid>
      <w:tr w:rsidR="006F358A" w14:paraId="4A50ABDF" w14:textId="77777777">
        <w:trPr>
          <w:trHeight w:val="865"/>
        </w:trPr>
        <w:tc>
          <w:tcPr>
            <w:tcW w:w="426" w:type="dxa"/>
            <w:tcMar>
              <w:left w:w="28" w:type="dxa"/>
              <w:right w:w="28" w:type="dxa"/>
            </w:tcMar>
          </w:tcPr>
          <w:p w14:paraId="4D8078ED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54ABF93C" w14:textId="77777777" w:rsidR="006F358A" w:rsidRDefault="00A14EBE">
            <w:pPr>
              <w:pStyle w:val="4"/>
              <w:keepNext w:val="0"/>
              <w:widowControl w:val="0"/>
              <w:ind w:right="0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2"/>
              </w:rPr>
              <w:t>Наименование объекта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485442B" w14:textId="77777777" w:rsidR="006F358A" w:rsidRDefault="00A14EB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67950980" w14:textId="77777777" w:rsidR="006F358A" w:rsidRDefault="00A14EBE">
            <w:pPr>
              <w:widowControl w:val="0"/>
              <w:ind w:right="-17"/>
              <w:rPr>
                <w:bCs/>
                <w:lang w:val="en-US"/>
              </w:rPr>
            </w:pPr>
            <w:r>
              <w:rPr>
                <w:bCs/>
              </w:rPr>
              <w:t>Амурский газохимический комплекс (ГХК). Объекты общезаводского хозяйства. Трубопроводная эстакада предзаводской и подсобной зоны.</w:t>
            </w:r>
          </w:p>
          <w:p w14:paraId="5B9A5235" w14:textId="77777777" w:rsidR="006F358A" w:rsidRDefault="006F358A">
            <w:pPr>
              <w:widowControl w:val="0"/>
              <w:ind w:right="-17"/>
            </w:pPr>
          </w:p>
        </w:tc>
      </w:tr>
      <w:tr w:rsidR="006F358A" w14:paraId="3F330FC8" w14:textId="77777777">
        <w:trPr>
          <w:trHeight w:val="134"/>
        </w:trPr>
        <w:tc>
          <w:tcPr>
            <w:tcW w:w="426" w:type="dxa"/>
            <w:tcMar>
              <w:left w:w="28" w:type="dxa"/>
              <w:right w:w="28" w:type="dxa"/>
            </w:tcMar>
          </w:tcPr>
          <w:p w14:paraId="13DE6414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55B2137A" w14:textId="77777777" w:rsidR="006F358A" w:rsidRDefault="00A14EBE">
            <w:pPr>
              <w:pStyle w:val="4"/>
              <w:keepNext w:val="0"/>
              <w:widowControl w:val="0"/>
              <w:ind w:right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Вид строительства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BA222B6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061A6F78" w14:textId="77777777" w:rsidR="006F358A" w:rsidRDefault="00A14EBE">
            <w:pPr>
              <w:widowControl w:val="0"/>
              <w:ind w:right="-17"/>
              <w:rPr>
                <w:color w:val="000000"/>
              </w:rPr>
            </w:pPr>
            <w:r>
              <w:rPr>
                <w:color w:val="000000"/>
              </w:rPr>
              <w:t>Новое строительство.</w:t>
            </w:r>
          </w:p>
        </w:tc>
      </w:tr>
      <w:tr w:rsidR="006F358A" w14:paraId="30AC3858" w14:textId="77777777">
        <w:trPr>
          <w:trHeight w:val="123"/>
        </w:trPr>
        <w:tc>
          <w:tcPr>
            <w:tcW w:w="426" w:type="dxa"/>
            <w:tcMar>
              <w:left w:w="28" w:type="dxa"/>
              <w:right w:w="28" w:type="dxa"/>
            </w:tcMar>
          </w:tcPr>
          <w:p w14:paraId="24F1468C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572C28FF" w14:textId="77777777" w:rsidR="006F358A" w:rsidRDefault="00A14EBE">
            <w:pPr>
              <w:pStyle w:val="4"/>
              <w:keepNext w:val="0"/>
              <w:widowControl w:val="0"/>
              <w:ind w:right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42DAB0F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.1.</w:t>
            </w:r>
          </w:p>
          <w:p w14:paraId="770831EB" w14:textId="77777777" w:rsidR="006F358A" w:rsidRDefault="006F358A">
            <w:pPr>
              <w:jc w:val="center"/>
            </w:pP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106FEB8D" w14:textId="77777777" w:rsidR="006F358A" w:rsidRDefault="00A14EBE">
            <w:pPr>
              <w:widowControl w:val="0"/>
              <w:ind w:right="-17"/>
              <w:rPr>
                <w:color w:val="000000"/>
              </w:rPr>
            </w:pPr>
            <w:r>
              <w:t>Рабочая документация.</w:t>
            </w:r>
          </w:p>
        </w:tc>
      </w:tr>
      <w:tr w:rsidR="006F358A" w14:paraId="023339AA" w14:textId="77777777">
        <w:trPr>
          <w:trHeight w:val="123"/>
        </w:trPr>
        <w:tc>
          <w:tcPr>
            <w:tcW w:w="426" w:type="dxa"/>
            <w:tcMar>
              <w:left w:w="28" w:type="dxa"/>
              <w:right w:w="28" w:type="dxa"/>
            </w:tcMar>
          </w:tcPr>
          <w:p w14:paraId="59FA63AE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75CEF0A3" w14:textId="77777777" w:rsidR="006F358A" w:rsidRDefault="00A14EBE">
            <w:pPr>
              <w:pStyle w:val="4"/>
              <w:keepNext w:val="0"/>
              <w:widowControl w:val="0"/>
              <w:ind w:right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Сведения о Генеральном Заказчике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EF282AC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588BB1DC" w14:textId="77777777" w:rsidR="006F358A" w:rsidRDefault="006F358A"/>
        </w:tc>
      </w:tr>
      <w:tr w:rsidR="006F358A" w14:paraId="1BC482DD" w14:textId="77777777">
        <w:trPr>
          <w:trHeight w:val="123"/>
        </w:trPr>
        <w:tc>
          <w:tcPr>
            <w:tcW w:w="426" w:type="dxa"/>
            <w:tcMar>
              <w:left w:w="28" w:type="dxa"/>
              <w:right w:w="28" w:type="dxa"/>
            </w:tcMar>
          </w:tcPr>
          <w:p w14:paraId="0237E216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34E929BB" w14:textId="77777777" w:rsidR="006F358A" w:rsidRDefault="00A14EBE">
            <w:pPr>
              <w:pStyle w:val="4"/>
              <w:keepNext w:val="0"/>
              <w:widowControl w:val="0"/>
              <w:ind w:right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Сведения о Заказчике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FF2BD33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4E5130A8" w14:textId="77777777" w:rsidR="006F358A" w:rsidRDefault="006F358A"/>
        </w:tc>
      </w:tr>
      <w:tr w:rsidR="006F358A" w14:paraId="656AECBC" w14:textId="77777777">
        <w:trPr>
          <w:trHeight w:val="911"/>
        </w:trPr>
        <w:tc>
          <w:tcPr>
            <w:tcW w:w="426" w:type="dxa"/>
            <w:tcMar>
              <w:left w:w="28" w:type="dxa"/>
              <w:right w:w="28" w:type="dxa"/>
            </w:tcMar>
          </w:tcPr>
          <w:p w14:paraId="5CDD05FD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263BB379" w14:textId="77777777" w:rsidR="006F358A" w:rsidRDefault="00A14EBE">
            <w:pPr>
              <w:pStyle w:val="4"/>
              <w:keepNext w:val="0"/>
              <w:widowControl w:val="0"/>
              <w:ind w:right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Потребность в инженерных изысканиях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B60E666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.1.</w:t>
            </w:r>
          </w:p>
          <w:p w14:paraId="2F73AECC" w14:textId="77777777" w:rsidR="006F358A" w:rsidRDefault="006F358A">
            <w:pPr>
              <w:jc w:val="center"/>
            </w:pP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0405967D" w14:textId="77777777" w:rsidR="006F358A" w:rsidRDefault="006F358A"/>
        </w:tc>
      </w:tr>
      <w:tr w:rsidR="006F358A" w14:paraId="73821A1A" w14:textId="77777777">
        <w:trPr>
          <w:trHeight w:val="221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</w:tcPr>
          <w:p w14:paraId="5208D265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</w:tcPr>
          <w:p w14:paraId="377C4E53" w14:textId="77777777" w:rsidR="006F358A" w:rsidRDefault="00A14EBE">
            <w:pPr>
              <w:pStyle w:val="4"/>
              <w:keepNext w:val="0"/>
              <w:widowControl w:val="0"/>
              <w:ind w:righ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Сведения о районе строительства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D593A1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7.1.</w:t>
            </w:r>
          </w:p>
          <w:p w14:paraId="3A8D5A49" w14:textId="77777777" w:rsidR="006F358A" w:rsidRDefault="006F358A"/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5BCD7158" w14:textId="77777777" w:rsidR="006F358A" w:rsidRDefault="00A14EBE">
            <w:pPr>
              <w:numPr>
                <w:ilvl w:val="1"/>
                <w:numId w:val="5"/>
              </w:numPr>
              <w:spacing w:line="276" w:lineRule="auto"/>
              <w:ind w:left="414" w:right="57" w:hanging="357"/>
              <w:jc w:val="both"/>
              <w:rPr>
                <w:color w:val="000000"/>
              </w:rPr>
            </w:pPr>
            <w:r>
              <w:rPr>
                <w:rFonts w:cs="Arial"/>
                <w:iCs/>
                <w:sz w:val="22"/>
                <w:szCs w:val="22"/>
              </w:rPr>
              <w:t>Климатический район - I, I-B</w:t>
            </w:r>
          </w:p>
        </w:tc>
      </w:tr>
      <w:tr w:rsidR="006F358A" w14:paraId="2A1D1A8D" w14:textId="77777777">
        <w:trPr>
          <w:trHeight w:val="846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61304F2E" w14:textId="77777777" w:rsidR="006F358A" w:rsidRDefault="006F358A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14:paraId="155A7BBE" w14:textId="77777777" w:rsidR="006F358A" w:rsidRDefault="006F358A">
            <w:pPr>
              <w:pStyle w:val="4"/>
              <w:keepNext w:val="0"/>
              <w:widowControl w:val="0"/>
              <w:ind w:righ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B49EE4E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7.2.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6E480EB5" w14:textId="77777777" w:rsidR="006F358A" w:rsidRDefault="00A14EBE">
            <w:pPr>
              <w:spacing w:line="276" w:lineRule="auto"/>
              <w:ind w:right="5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Климатические условия района строительства:</w:t>
            </w:r>
          </w:p>
          <w:p w14:paraId="5D6936EE" w14:textId="77777777" w:rsidR="006F358A" w:rsidRDefault="00A14EBE">
            <w:pPr>
              <w:spacing w:before="60" w:after="60"/>
              <w:ind w:right="-57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По СП 131.13330.2012, СП 131.13330.2018 для района строительства - г. Свободный, Амурской области:</w:t>
            </w:r>
          </w:p>
          <w:p w14:paraId="286D27FF" w14:textId="77777777" w:rsidR="006F358A" w:rsidRDefault="00A14EBE">
            <w:pPr>
              <w:numPr>
                <w:ilvl w:val="1"/>
                <w:numId w:val="10"/>
              </w:numPr>
              <w:spacing w:before="60" w:after="60"/>
              <w:ind w:left="422" w:right="-57" w:hanging="422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Температура воздуха наиболее холодной пятидневки, °С, обеспеченностью 0,92 - минус 39 °С;</w:t>
            </w:r>
          </w:p>
          <w:p w14:paraId="7EA42BD0" w14:textId="77777777" w:rsidR="006F358A" w:rsidRDefault="00A14EBE">
            <w:pPr>
              <w:numPr>
                <w:ilvl w:val="1"/>
                <w:numId w:val="10"/>
              </w:numPr>
              <w:spacing w:before="60" w:after="60"/>
              <w:ind w:left="422" w:right="-57" w:hanging="422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Температура воздуха наиболее холодных суток, °С, обеспеченностью 0,98 - минус 44 °С;</w:t>
            </w:r>
          </w:p>
          <w:p w14:paraId="7B31C405" w14:textId="77777777" w:rsidR="006F358A" w:rsidRDefault="00A14EBE">
            <w:pPr>
              <w:numPr>
                <w:ilvl w:val="1"/>
                <w:numId w:val="10"/>
              </w:numPr>
              <w:spacing w:before="60" w:after="60"/>
              <w:ind w:left="422" w:right="-57" w:hanging="422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Расчётный вес снегового покрова для I района (СП 20.13330.2011, СП 20.13330.2016)</w:t>
            </w:r>
            <w:r>
              <w:rPr>
                <w:rFonts w:cs="Arial"/>
                <w:iCs/>
                <w:sz w:val="22"/>
                <w:szCs w:val="22"/>
              </w:rPr>
              <w:t xml:space="preserve"> 0,8 кПа;</w:t>
            </w:r>
          </w:p>
          <w:p w14:paraId="3F39DE97" w14:textId="77777777" w:rsidR="006F358A" w:rsidRDefault="00A14EBE">
            <w:pPr>
              <w:numPr>
                <w:ilvl w:val="1"/>
                <w:numId w:val="10"/>
              </w:numPr>
              <w:spacing w:before="60" w:after="60"/>
              <w:ind w:left="422" w:right="-57" w:hanging="422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Нормативное ветровое давление для II района (СП 20.13330.2011, СП 20.13330.2016) 0,3 кПа.</w:t>
            </w:r>
          </w:p>
        </w:tc>
      </w:tr>
      <w:tr w:rsidR="006F358A" w14:paraId="78964334" w14:textId="77777777">
        <w:trPr>
          <w:trHeight w:val="906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399068F1" w14:textId="77777777" w:rsidR="006F358A" w:rsidRDefault="006F358A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14:paraId="7416B798" w14:textId="77777777" w:rsidR="006F358A" w:rsidRDefault="006F358A">
            <w:pPr>
              <w:pStyle w:val="4"/>
              <w:keepNext w:val="0"/>
              <w:widowControl w:val="0"/>
              <w:ind w:righ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68E3E74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7.3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39FEA1E9" w14:textId="77777777" w:rsidR="006F358A" w:rsidRDefault="00A14EBE">
            <w:pPr>
              <w:spacing w:line="276" w:lineRule="auto"/>
              <w:ind w:right="5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Принять нормативную сейсмичность площадки строительства 5 баллов для карты ОСР-2016-В согласно СП 14.13330.2018.</w:t>
            </w:r>
          </w:p>
        </w:tc>
      </w:tr>
      <w:tr w:rsidR="006F358A" w14:paraId="5B51F7DA" w14:textId="77777777">
        <w:trPr>
          <w:trHeight w:val="906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379D20BF" w14:textId="77777777" w:rsidR="006F358A" w:rsidRDefault="006F358A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14:paraId="21FE06CC" w14:textId="77777777" w:rsidR="006F358A" w:rsidRDefault="006F358A">
            <w:pPr>
              <w:pStyle w:val="4"/>
              <w:keepNext w:val="0"/>
              <w:widowControl w:val="0"/>
              <w:ind w:righ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957778F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7.4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1B926C50" w14:textId="77777777" w:rsidR="006F358A" w:rsidRDefault="00A14EBE">
            <w:pPr>
              <w:spacing w:line="276" w:lineRule="auto"/>
              <w:ind w:right="5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Принять расчетную сейсмичность площадки строительства 5 баллов, на основании данных технического отчета AGCC.287-0000-СМР</w:t>
            </w:r>
          </w:p>
        </w:tc>
      </w:tr>
      <w:tr w:rsidR="006F358A" w14:paraId="1606BFCA" w14:textId="77777777">
        <w:trPr>
          <w:trHeight w:val="532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729E4846" w14:textId="77777777" w:rsidR="006F358A" w:rsidRDefault="006F358A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14:paraId="3D479CB7" w14:textId="77777777" w:rsidR="006F358A" w:rsidRDefault="006F358A">
            <w:pPr>
              <w:pStyle w:val="4"/>
              <w:keepNext w:val="0"/>
              <w:widowControl w:val="0"/>
              <w:ind w:righ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F53F8E9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7.5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5380FA14" w14:textId="77777777" w:rsidR="006F358A" w:rsidRDefault="00A14EBE">
            <w:pPr>
              <w:spacing w:line="276" w:lineRule="auto"/>
              <w:ind w:right="57"/>
              <w:contextualSpacing/>
              <w:jc w:val="both"/>
              <w:rPr>
                <w:color w:val="000000"/>
              </w:rPr>
            </w:pPr>
            <w:r>
              <w:rPr>
                <w:rFonts w:cs="Arial"/>
                <w:iCs/>
                <w:sz w:val="22"/>
                <w:szCs w:val="22"/>
              </w:rPr>
              <w:t>Абсолютная минимальная температура минус 52 °С.</w:t>
            </w:r>
          </w:p>
        </w:tc>
      </w:tr>
      <w:tr w:rsidR="006F358A" w14:paraId="5CCA532D" w14:textId="77777777">
        <w:trPr>
          <w:trHeight w:val="553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1BF858CA" w14:textId="77777777" w:rsidR="006F358A" w:rsidRDefault="006F358A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14:paraId="2172FDE6" w14:textId="77777777" w:rsidR="006F358A" w:rsidRDefault="006F358A">
            <w:pPr>
              <w:pStyle w:val="4"/>
              <w:keepNext w:val="0"/>
              <w:widowControl w:val="0"/>
              <w:ind w:righ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3832317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7.6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68E60E95" w14:textId="77777777" w:rsidR="006F358A" w:rsidRDefault="00A14EBE">
            <w:pPr>
              <w:spacing w:line="276" w:lineRule="auto"/>
              <w:ind w:right="57"/>
              <w:contextualSpacing/>
              <w:jc w:val="both"/>
              <w:rPr>
                <w:color w:val="000000"/>
              </w:rPr>
            </w:pPr>
            <w:r>
              <w:rPr>
                <w:rFonts w:cs="Arial"/>
                <w:iCs/>
                <w:sz w:val="22"/>
                <w:szCs w:val="22"/>
              </w:rPr>
              <w:t>Зона влажности по СП 50.13330.2012 - нормальная</w:t>
            </w:r>
          </w:p>
        </w:tc>
      </w:tr>
      <w:tr w:rsidR="006F358A" w14:paraId="1C1F4A90" w14:textId="77777777">
        <w:tc>
          <w:tcPr>
            <w:tcW w:w="426" w:type="dxa"/>
            <w:tcMar>
              <w:left w:w="28" w:type="dxa"/>
              <w:right w:w="28" w:type="dxa"/>
            </w:tcMar>
          </w:tcPr>
          <w:p w14:paraId="58E5D883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04AFFA67" w14:textId="77777777" w:rsidR="006F358A" w:rsidRDefault="00A14EBE">
            <w:pPr>
              <w:spacing w:after="60"/>
              <w:ind w:right="-57"/>
              <w:rPr>
                <w:rFonts w:cs="Arial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</w:rPr>
              <w:t>Срок начала и окончания работ по выполнению и оформлению расчетов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E25E89A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 xml:space="preserve"> 8.1. 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3F595C13" w14:textId="77777777" w:rsidR="006F358A" w:rsidRDefault="00A14EBE">
            <w:pPr>
              <w:ind w:right="-17"/>
              <w:rPr>
                <w:color w:val="000000"/>
              </w:rPr>
            </w:pPr>
            <w:r>
              <w:rPr>
                <w:color w:val="000000"/>
              </w:rPr>
              <w:t>Сроки выдачи документации определяются календарным планом, прилагаемым к договору.</w:t>
            </w:r>
          </w:p>
          <w:p w14:paraId="622E0FC1" w14:textId="77777777" w:rsidR="006F358A" w:rsidRDefault="006F358A">
            <w:pPr>
              <w:ind w:right="-17"/>
              <w:rPr>
                <w:color w:val="000000"/>
              </w:rPr>
            </w:pPr>
          </w:p>
        </w:tc>
      </w:tr>
      <w:tr w:rsidR="006F358A" w14:paraId="327A1F9C" w14:textId="77777777">
        <w:trPr>
          <w:trHeight w:val="1850"/>
        </w:trPr>
        <w:tc>
          <w:tcPr>
            <w:tcW w:w="426" w:type="dxa"/>
            <w:tcMar>
              <w:left w:w="28" w:type="dxa"/>
              <w:right w:w="28" w:type="dxa"/>
            </w:tcMar>
          </w:tcPr>
          <w:p w14:paraId="777C3BEB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74139CC1" w14:textId="77777777" w:rsidR="006F358A" w:rsidRDefault="00A14EBE">
            <w:pPr>
              <w:pStyle w:val="4"/>
              <w:keepNext w:val="0"/>
              <w:widowControl w:val="0"/>
              <w:ind w:right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Основные технико-экономические показатели объекта проектирования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F719804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9.1.</w:t>
            </w:r>
          </w:p>
          <w:p w14:paraId="33E1ADB1" w14:textId="77777777" w:rsidR="006F358A" w:rsidRDefault="006F358A">
            <w:pPr>
              <w:pStyle w:val="4"/>
              <w:widowControl w:val="0"/>
              <w:ind w:right="0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73D129C7" w14:textId="77777777" w:rsidR="006F358A" w:rsidRDefault="00A14EBE">
            <w:pPr>
              <w:spacing w:after="60"/>
              <w:ind w:right="153"/>
              <w:jc w:val="both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Трубопроводная эстакада предзаводской и подсобной зоны предназначена для прокладки технологических трубопроводов и трубопроводов вспомогательного назначения, связывающих объекты ОЗХ и основные технологические объекты.</w:t>
            </w:r>
          </w:p>
          <w:p w14:paraId="3A3CA643" w14:textId="77777777" w:rsidR="006F358A" w:rsidRDefault="00A14EBE">
            <w:pPr>
              <w:spacing w:after="60"/>
              <w:ind w:right="153"/>
              <w:jc w:val="both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ТЭП эстакады описаны в приложении 5.</w:t>
            </w:r>
          </w:p>
          <w:p w14:paraId="43C332A1" w14:textId="77777777" w:rsidR="006F358A" w:rsidRDefault="00A14EBE">
            <w:pPr>
              <w:widowControl w:val="0"/>
              <w:ind w:right="-17"/>
              <w:rPr>
                <w:color w:val="000000"/>
              </w:rPr>
            </w:pPr>
            <w:r>
              <w:rPr>
                <w:rFonts w:cs="Arial"/>
                <w:iCs/>
                <w:sz w:val="22"/>
                <w:szCs w:val="22"/>
              </w:rPr>
              <w:t>С</w:t>
            </w:r>
            <w:r>
              <w:rPr>
                <w:rFonts w:cs="Arial"/>
                <w:iCs/>
                <w:sz w:val="22"/>
                <w:szCs w:val="22"/>
              </w:rPr>
              <w:t>рок эксплуатации объекта – 25 лет.</w:t>
            </w:r>
          </w:p>
        </w:tc>
      </w:tr>
      <w:tr w:rsidR="006F358A" w14:paraId="7F0ACFA9" w14:textId="77777777">
        <w:trPr>
          <w:trHeight w:val="737"/>
        </w:trPr>
        <w:tc>
          <w:tcPr>
            <w:tcW w:w="426" w:type="dxa"/>
            <w:tcMar>
              <w:left w:w="28" w:type="dxa"/>
              <w:right w:w="28" w:type="dxa"/>
            </w:tcMar>
          </w:tcPr>
          <w:p w14:paraId="121B6457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3FE507B7" w14:textId="77777777" w:rsidR="006F358A" w:rsidRDefault="00A14EBE">
            <w:pPr>
              <w:pStyle w:val="4"/>
              <w:keepNext w:val="0"/>
              <w:widowControl w:val="0"/>
              <w:ind w:right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Состав объекта проектирования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065D477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6D94C307" w14:textId="77777777" w:rsidR="006F358A" w:rsidRDefault="00A14EBE">
            <w:pPr>
              <w:spacing w:after="60"/>
              <w:ind w:right="153"/>
              <w:jc w:val="both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t xml:space="preserve">Титул 6940 - </w:t>
            </w:r>
            <w:r>
              <w:rPr>
                <w:bCs/>
              </w:rPr>
              <w:t xml:space="preserve">Трубопроводная эстакада предзаводской и подсобной зоны. Пакет 1. Участки </w:t>
            </w:r>
            <w:r>
              <w:rPr>
                <w:bCs/>
                <w:lang w:val="en-US"/>
              </w:rPr>
              <w:t>SRP-01 – SRP-08</w:t>
            </w:r>
          </w:p>
        </w:tc>
      </w:tr>
      <w:tr w:rsidR="006F358A" w14:paraId="687A46B9" w14:textId="77777777">
        <w:trPr>
          <w:trHeight w:val="828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</w:tcPr>
          <w:p w14:paraId="5CCD8ACB" w14:textId="77777777" w:rsidR="006F358A" w:rsidRDefault="00A14EBE">
            <w:pPr>
              <w:pStyle w:val="4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</w:tcPr>
          <w:p w14:paraId="54526616" w14:textId="77777777" w:rsidR="006F358A" w:rsidRDefault="00A14EBE">
            <w:pPr>
              <w:pStyle w:val="4"/>
              <w:keepNext w:val="0"/>
              <w:widowControl w:val="0"/>
              <w:ind w:right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Объем работ.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82339BF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11.1.</w:t>
            </w:r>
          </w:p>
          <w:p w14:paraId="7A6B59D5" w14:textId="77777777" w:rsidR="006F358A" w:rsidRDefault="006F358A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03622D8E" w14:textId="77777777" w:rsidR="006F358A" w:rsidRDefault="00A14EBE">
            <w:pPr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вести с учетом требований приложения 1 (задание НИПИГАЗ № AGCC.287-6940-06A-0001 c приложениями) </w:t>
            </w:r>
          </w:p>
        </w:tc>
      </w:tr>
      <w:tr w:rsidR="006F358A" w14:paraId="481D0278" w14:textId="77777777">
        <w:trPr>
          <w:trHeight w:val="828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35F81281" w14:textId="77777777" w:rsidR="006F358A" w:rsidRDefault="006F358A">
            <w:pPr>
              <w:pStyle w:val="4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14:paraId="08EABCE7" w14:textId="77777777" w:rsidR="006F358A" w:rsidRDefault="006F358A">
            <w:pPr>
              <w:pStyle w:val="4"/>
              <w:keepNext w:val="0"/>
              <w:widowControl w:val="0"/>
              <w:ind w:right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05D9BD2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11.2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122FA015" w14:textId="77777777" w:rsidR="006F358A" w:rsidRDefault="00A14EBE">
            <w:pPr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14.1 Разбивка эстакады на участки приведена в Приложении 5 к приложению 1 (задание НИПИГАЗ </w:t>
            </w:r>
            <w:r>
              <w:rPr>
                <w:color w:val="000000"/>
              </w:rPr>
              <w:t xml:space="preserve">№ AGCC.287-6940-06A-0001 c приложениями) </w:t>
            </w:r>
          </w:p>
        </w:tc>
      </w:tr>
      <w:tr w:rsidR="006F358A" w14:paraId="6C67124E" w14:textId="77777777">
        <w:trPr>
          <w:trHeight w:val="828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1BF4A251" w14:textId="77777777" w:rsidR="006F358A" w:rsidRDefault="006F358A">
            <w:pPr>
              <w:pStyle w:val="4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14:paraId="1303C669" w14:textId="77777777" w:rsidR="006F358A" w:rsidRDefault="006F358A">
            <w:pPr>
              <w:pStyle w:val="4"/>
              <w:keepNext w:val="0"/>
              <w:widowControl w:val="0"/>
              <w:ind w:right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2DF5A7A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11.3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1D9EB3DE" w14:textId="77777777" w:rsidR="006F358A" w:rsidRDefault="00A14EBE">
            <w:pPr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Выполнение расчетов конструкций сооружений в соответствии с требованиями Приложения 1 приложению 1 (задание НИПИГАЗ № AGCC.287-6940-06A-0001 c приложениями)</w:t>
            </w:r>
          </w:p>
        </w:tc>
      </w:tr>
      <w:tr w:rsidR="006F358A" w14:paraId="45DDEE0D" w14:textId="77777777">
        <w:trPr>
          <w:trHeight w:val="828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49361F30" w14:textId="77777777" w:rsidR="006F358A" w:rsidRDefault="006F358A">
            <w:pPr>
              <w:pStyle w:val="4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14:paraId="3C576129" w14:textId="77777777" w:rsidR="006F358A" w:rsidRDefault="006F358A">
            <w:pPr>
              <w:pStyle w:val="4"/>
              <w:keepNext w:val="0"/>
              <w:widowControl w:val="0"/>
              <w:ind w:right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F372ADF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11.4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0274AA12" w14:textId="77777777" w:rsidR="006F358A" w:rsidRDefault="00A14EBE">
            <w:pPr>
              <w:ind w:right="-17"/>
              <w:rPr>
                <w:color w:val="000000"/>
              </w:rPr>
            </w:pPr>
            <w:r>
              <w:rPr>
                <w:color w:val="000000"/>
              </w:rPr>
              <w:t>В состав рабочей документации входят:</w:t>
            </w:r>
          </w:p>
          <w:p w14:paraId="50AD2E29" w14:textId="77777777" w:rsidR="006F358A" w:rsidRDefault="00A14EBE">
            <w:pPr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- оформленные отчеты по результатам расчета конструкций сооружений (включаются в комплект РД прилагаемыми документами) с учетом прогрессирующего обрушения; </w:t>
            </w:r>
          </w:p>
          <w:p w14:paraId="1ED0A886" w14:textId="77777777" w:rsidR="006F358A" w:rsidRDefault="00A14EBE">
            <w:pPr>
              <w:ind w:right="-17"/>
              <w:rPr>
                <w:color w:val="000000"/>
              </w:rPr>
            </w:pPr>
            <w:r>
              <w:rPr>
                <w:color w:val="000000"/>
              </w:rPr>
              <w:t>- расчетная модель в формате разработки;</w:t>
            </w:r>
          </w:p>
        </w:tc>
      </w:tr>
      <w:tr w:rsidR="006F358A" w14:paraId="01CD1D02" w14:textId="77777777">
        <w:trPr>
          <w:trHeight w:val="828"/>
        </w:trPr>
        <w:tc>
          <w:tcPr>
            <w:tcW w:w="426" w:type="dxa"/>
            <w:tcMar>
              <w:left w:w="28" w:type="dxa"/>
              <w:right w:w="28" w:type="dxa"/>
            </w:tcMar>
          </w:tcPr>
          <w:p w14:paraId="6E024C99" w14:textId="77777777" w:rsidR="006F358A" w:rsidRDefault="006F358A">
            <w:pPr>
              <w:pStyle w:val="4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69418EA7" w14:textId="77777777" w:rsidR="006F358A" w:rsidRDefault="006F358A">
            <w:pPr>
              <w:pStyle w:val="4"/>
              <w:keepNext w:val="0"/>
              <w:widowControl w:val="0"/>
              <w:ind w:right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30A8D4A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11.5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16DB0396" w14:textId="77777777" w:rsidR="006F358A" w:rsidRDefault="00A14EBE">
            <w:pPr>
              <w:ind w:right="-17"/>
              <w:rPr>
                <w:color w:val="000000"/>
              </w:rPr>
            </w:pPr>
            <w:r>
              <w:rPr>
                <w:color w:val="000000"/>
              </w:rPr>
              <w:t>Расчёты необходимо откорректировать в соответствии с требованиями (файл требования приложен к пакету по каждой структуре).</w:t>
            </w:r>
          </w:p>
          <w:p w14:paraId="6B2551B4" w14:textId="77777777" w:rsidR="006F358A" w:rsidRDefault="00A14EBE">
            <w:pPr>
              <w:ind w:right="-17"/>
              <w:rPr>
                <w:color w:val="000000"/>
              </w:rPr>
            </w:pPr>
            <w:r>
              <w:rPr>
                <w:color w:val="000000"/>
              </w:rPr>
              <w:t>Задачи и пояснения по корректировке каждой структуры также приведены в пакетах по каждой структуре.</w:t>
            </w:r>
          </w:p>
          <w:p w14:paraId="11BC59C9" w14:textId="77777777" w:rsidR="006F358A" w:rsidRDefault="00A14EBE">
            <w:pPr>
              <w:ind w:right="-17"/>
              <w:rPr>
                <w:color w:val="000000"/>
              </w:rPr>
            </w:pPr>
            <w:r>
              <w:rPr>
                <w:color w:val="000000"/>
              </w:rPr>
              <w:t>Расчётные модели и файлы по каждой структуре приведены в архиве.</w:t>
            </w:r>
          </w:p>
        </w:tc>
      </w:tr>
      <w:tr w:rsidR="006F358A" w14:paraId="7521A28C" w14:textId="77777777">
        <w:trPr>
          <w:trHeight w:val="828"/>
        </w:trPr>
        <w:tc>
          <w:tcPr>
            <w:tcW w:w="426" w:type="dxa"/>
            <w:tcMar>
              <w:left w:w="28" w:type="dxa"/>
              <w:right w:w="28" w:type="dxa"/>
            </w:tcMar>
          </w:tcPr>
          <w:p w14:paraId="34DE96EA" w14:textId="77777777" w:rsidR="006F358A" w:rsidRDefault="00A14EBE">
            <w:pPr>
              <w:pStyle w:val="4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5A5069E6" w14:textId="77777777" w:rsidR="006F358A" w:rsidRDefault="00A14EBE">
            <w:pPr>
              <w:pStyle w:val="4"/>
              <w:keepNext w:val="0"/>
              <w:widowControl w:val="0"/>
              <w:ind w:right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9FB73B2" w14:textId="77777777" w:rsidR="006F358A" w:rsidRDefault="00A14EBE">
            <w:pPr>
              <w:pStyle w:val="4"/>
              <w:keepNext w:val="0"/>
              <w:widowControl w:val="0"/>
              <w:ind w:right="0"/>
              <w:contextualSpacing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12.1</w:t>
            </w:r>
          </w:p>
          <w:p w14:paraId="1E925705" w14:textId="77777777" w:rsidR="006F358A" w:rsidRDefault="006F358A">
            <w:pPr>
              <w:contextualSpacing/>
            </w:pPr>
          </w:p>
          <w:p w14:paraId="6F212F1C" w14:textId="77777777" w:rsidR="006F358A" w:rsidRDefault="006F358A">
            <w:pPr>
              <w:contextualSpacing/>
            </w:pPr>
          </w:p>
          <w:p w14:paraId="67192C45" w14:textId="77777777" w:rsidR="006F358A" w:rsidRDefault="006F358A">
            <w:pPr>
              <w:contextualSpacing/>
            </w:pPr>
          </w:p>
          <w:p w14:paraId="4BC450DF" w14:textId="77777777" w:rsidR="006F358A" w:rsidRDefault="006F358A">
            <w:pPr>
              <w:contextualSpacing/>
            </w:pP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455F53E0" w14:textId="77777777" w:rsidR="006F358A" w:rsidRDefault="00A14EBE">
            <w:pPr>
              <w:spacing w:after="60"/>
              <w:ind w:right="153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п.18 приложения 1 (задание НИПИГАЗ № AGCC</w:t>
            </w:r>
            <w:r>
              <w:rPr>
                <w:color w:val="000000"/>
              </w:rPr>
              <w:t xml:space="preserve">.287-6940-06A-0001 c приложениями) </w:t>
            </w:r>
          </w:p>
        </w:tc>
      </w:tr>
      <w:tr w:rsidR="006F358A" w14:paraId="7447AF86" w14:textId="77777777">
        <w:trPr>
          <w:trHeight w:val="1261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</w:tcPr>
          <w:p w14:paraId="2665BD76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14.</w:t>
            </w: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</w:tcPr>
          <w:p w14:paraId="28222139" w14:textId="77777777" w:rsidR="006F358A" w:rsidRDefault="00A14EBE">
            <w:pPr>
              <w:pStyle w:val="4"/>
              <w:keepNext w:val="0"/>
              <w:widowControl w:val="0"/>
              <w:ind w:righ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Особые условия проектирования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0615AE1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14.1.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71E8350A" w14:textId="77777777" w:rsidR="006F358A" w:rsidRDefault="00A14EBE">
            <w:pPr>
              <w:widowControl w:val="0"/>
              <w:ind w:right="153"/>
              <w:jc w:val="both"/>
            </w:pPr>
            <w:r>
              <w:t xml:space="preserve">В процессе разработки РД Подрядчик обязан реализовать в проекте требования, изложенные в Приложении 2 </w:t>
            </w:r>
            <w:r>
              <w:rPr>
                <w:color w:val="000000"/>
              </w:rPr>
              <w:t>задание НИПИГАЗ № AGCC.287-6940-06A-0001</w:t>
            </w:r>
            <w:r>
              <w:t xml:space="preserve"> «Особые требования Заказчика к проек</w:t>
            </w:r>
            <w:r>
              <w:t>тированию», но не ограничиваясь ими.</w:t>
            </w:r>
          </w:p>
        </w:tc>
      </w:tr>
      <w:tr w:rsidR="006F358A" w14:paraId="3A26FDD4" w14:textId="77777777">
        <w:trPr>
          <w:trHeight w:val="126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7D25A149" w14:textId="77777777" w:rsidR="006F358A" w:rsidRDefault="006F358A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14:paraId="27A9663B" w14:textId="77777777" w:rsidR="006F358A" w:rsidRDefault="006F358A">
            <w:pPr>
              <w:pStyle w:val="4"/>
              <w:keepNext w:val="0"/>
              <w:widowControl w:val="0"/>
              <w:ind w:righ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8C3B0E3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14.4 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7665CAEE" w14:textId="77777777" w:rsidR="006F358A" w:rsidRDefault="00A14EBE">
            <w:pPr>
              <w:widowControl w:val="0"/>
              <w:ind w:right="153"/>
              <w:jc w:val="both"/>
            </w:pPr>
            <w:r>
              <w:t xml:space="preserve">Проектирование вести с учетом требований </w:t>
            </w:r>
            <w:r>
              <w:rPr>
                <w:color w:val="000000"/>
              </w:rPr>
              <w:t>задания НИПИГАЗ задание НИПИГАЗ № AGCC.287-6940-06A-0001</w:t>
            </w:r>
            <w:r>
              <w:rPr>
                <w:rFonts w:cs="Arial"/>
                <w:bCs/>
                <w:sz w:val="22"/>
                <w:szCs w:val="22"/>
              </w:rPr>
              <w:t>, применимых к выполняемым работам (выполнение расчетов)</w:t>
            </w:r>
          </w:p>
        </w:tc>
      </w:tr>
      <w:tr w:rsidR="006F358A" w14:paraId="2DE49E48" w14:textId="77777777">
        <w:trPr>
          <w:trHeight w:val="1261"/>
        </w:trPr>
        <w:tc>
          <w:tcPr>
            <w:tcW w:w="426" w:type="dxa"/>
            <w:tcMar>
              <w:left w:w="28" w:type="dxa"/>
              <w:right w:w="28" w:type="dxa"/>
            </w:tcMar>
          </w:tcPr>
          <w:p w14:paraId="04E4811D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4D39F9DF" w14:textId="77777777" w:rsidR="006F358A" w:rsidRDefault="00A14EBE">
            <w:pPr>
              <w:pStyle w:val="4"/>
              <w:keepNext w:val="0"/>
              <w:widowControl w:val="0"/>
              <w:ind w:righ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Исходные данные Заказчика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433ACAA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15.1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0D73C8A2" w14:textId="77777777" w:rsidR="006F358A" w:rsidRDefault="00A14EBE">
            <w:pPr>
              <w:widowControl w:val="0"/>
              <w:ind w:left="80" w:right="153"/>
              <w:jc w:val="both"/>
            </w:pPr>
            <w:r>
              <w:t xml:space="preserve">Исходные данные Заказчика в соответствии с п.36 </w:t>
            </w:r>
            <w:r>
              <w:rPr>
                <w:color w:val="000000"/>
              </w:rPr>
              <w:t xml:space="preserve">приложения 1 (задания </w:t>
            </w:r>
            <w:r>
              <w:rPr>
                <w:bCs/>
                <w:color w:val="000000"/>
              </w:rPr>
              <w:t xml:space="preserve">НИПИГАЗ </w:t>
            </w:r>
            <w:r>
              <w:rPr>
                <w:color w:val="000000"/>
              </w:rPr>
              <w:t>№ AGCC.287-6940-06A-0001 с приложениями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</w:p>
        </w:tc>
      </w:tr>
      <w:tr w:rsidR="006F358A" w14:paraId="3A4E9A1C" w14:textId="77777777">
        <w:trPr>
          <w:trHeight w:val="975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</w:tcPr>
          <w:p w14:paraId="3699092C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16.</w:t>
            </w:r>
          </w:p>
          <w:p w14:paraId="2801AEBC" w14:textId="77777777" w:rsidR="006F358A" w:rsidRDefault="006F358A">
            <w:pPr>
              <w:pStyle w:val="4"/>
              <w:widowControl w:val="0"/>
              <w:ind w:righ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</w:tcPr>
          <w:p w14:paraId="63991C4A" w14:textId="77777777" w:rsidR="006F358A" w:rsidRDefault="00A14EBE">
            <w:pPr>
              <w:pStyle w:val="4"/>
              <w:keepNext w:val="0"/>
              <w:widowControl w:val="0"/>
              <w:ind w:righ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Нормы проектирования (конструирования) и стандарты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3DF335B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16.1.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24C1CFD3" w14:textId="77777777" w:rsidR="006F358A" w:rsidRDefault="00A14EBE">
            <w:pPr>
              <w:ind w:right="153"/>
              <w:jc w:val="both"/>
            </w:pPr>
            <w:r>
              <w:rPr>
                <w:rFonts w:cs="Arial"/>
                <w:iCs/>
                <w:sz w:val="22"/>
                <w:szCs w:val="22"/>
              </w:rPr>
              <w:t>При разработке документации должны использоваться нормы и стандарты, действующие на территории Российской Федерации, члена Таможенного союза. приведен в Приложении 1 настоящего Задания (п.45).</w:t>
            </w:r>
          </w:p>
        </w:tc>
      </w:tr>
      <w:tr w:rsidR="006F358A" w14:paraId="7D5F083F" w14:textId="77777777">
        <w:trPr>
          <w:trHeight w:val="975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747AF072" w14:textId="77777777" w:rsidR="006F358A" w:rsidRDefault="006F358A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14:paraId="2B67422C" w14:textId="77777777" w:rsidR="006F358A" w:rsidRDefault="006F358A">
            <w:pPr>
              <w:pStyle w:val="4"/>
              <w:keepNext w:val="0"/>
              <w:widowControl w:val="0"/>
              <w:ind w:righ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3625618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16.2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5E8DB4D4" w14:textId="77777777" w:rsidR="006F358A" w:rsidRDefault="00A14EBE">
            <w:pPr>
              <w:ind w:right="-17"/>
            </w:pPr>
            <w:r>
              <w:rPr>
                <w:rFonts w:cs="Arial"/>
                <w:iCs/>
                <w:sz w:val="22"/>
                <w:szCs w:val="22"/>
              </w:rPr>
              <w:t>Перечень основных нормативных документов приведен в Приложении 1(</w:t>
            </w:r>
            <w:r>
              <w:rPr>
                <w:color w:val="000000"/>
              </w:rPr>
              <w:t>задание НИПИГАЗ № AGCC.287-6940-06A-0001 с приложениями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  <w:r>
              <w:rPr>
                <w:rFonts w:cs="Arial"/>
                <w:iCs/>
                <w:sz w:val="22"/>
                <w:szCs w:val="22"/>
              </w:rPr>
              <w:t>.</w:t>
            </w:r>
          </w:p>
        </w:tc>
      </w:tr>
      <w:tr w:rsidR="006F358A" w14:paraId="225226A6" w14:textId="77777777">
        <w:trPr>
          <w:trHeight w:val="766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41CC53EB" w14:textId="77777777" w:rsidR="006F358A" w:rsidRDefault="006F358A">
            <w:pPr>
              <w:pStyle w:val="4"/>
              <w:widowControl w:val="0"/>
              <w:ind w:righ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14:paraId="56BC4219" w14:textId="77777777" w:rsidR="006F358A" w:rsidRDefault="006F358A">
            <w:pPr>
              <w:pStyle w:val="4"/>
              <w:keepNext w:val="0"/>
              <w:widowControl w:val="0"/>
              <w:ind w:righ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F40B039" w14:textId="77777777" w:rsidR="006F358A" w:rsidRDefault="00A14EBE">
            <w:pPr>
              <w:jc w:val="center"/>
            </w:pPr>
            <w:r>
              <w:rPr>
                <w:bCs/>
              </w:rPr>
              <w:t>16.3.</w:t>
            </w:r>
          </w:p>
          <w:p w14:paraId="3FB526D7" w14:textId="77777777" w:rsidR="006F358A" w:rsidRDefault="006F358A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239FDF6C" w14:textId="77777777" w:rsidR="006F358A" w:rsidRDefault="00A14EBE">
            <w:pPr>
              <w:ind w:right="-17"/>
            </w:pPr>
            <w:r>
              <w:t>Оформление рабочей документации в соответствии с государст</w:t>
            </w:r>
            <w:r>
              <w:t>венными стандартами СПДС и ЕСКД и требованиями заказчика</w:t>
            </w:r>
          </w:p>
          <w:p w14:paraId="474AF97E" w14:textId="77777777" w:rsidR="006F358A" w:rsidRDefault="006F358A">
            <w:pPr>
              <w:ind w:right="-17"/>
            </w:pPr>
          </w:p>
        </w:tc>
      </w:tr>
      <w:tr w:rsidR="006F358A" w14:paraId="15E1EA82" w14:textId="77777777">
        <w:trPr>
          <w:trHeight w:val="549"/>
        </w:trPr>
        <w:tc>
          <w:tcPr>
            <w:tcW w:w="426" w:type="dxa"/>
            <w:tcMar>
              <w:left w:w="28" w:type="dxa"/>
              <w:right w:w="28" w:type="dxa"/>
            </w:tcMar>
          </w:tcPr>
          <w:p w14:paraId="44A179E8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01CE9DB0" w14:textId="77777777" w:rsidR="006F358A" w:rsidRDefault="00A14EBE">
            <w:pPr>
              <w:pStyle w:val="4"/>
              <w:keepNext w:val="0"/>
              <w:widowControl w:val="0"/>
              <w:ind w:righ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Требования к передаче документации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E842BB2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17.1.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5F8D45CC" w14:textId="77777777" w:rsidR="006F358A" w:rsidRDefault="00A14EBE">
            <w:pPr>
              <w:ind w:right="-17"/>
              <w:rPr>
                <w:color w:val="000000"/>
              </w:rPr>
            </w:pPr>
            <w:r>
              <w:t>Требования к передаче документации в соответствии с п.39 Приложения 1 (</w:t>
            </w:r>
            <w:r>
              <w:rPr>
                <w:color w:val="000000"/>
              </w:rPr>
              <w:t>задание НИПИГАЗ № AGCC.287-6940-06A-0001 с приложениями)</w:t>
            </w:r>
            <w:r>
              <w:rPr>
                <w:color w:val="000000"/>
              </w:rPr>
              <w:t>, за искл. пп 39.4-39.9</w:t>
            </w:r>
          </w:p>
          <w:p w14:paraId="49BB96E0" w14:textId="77777777" w:rsidR="006F358A" w:rsidRDefault="00A14EBE">
            <w:pPr>
              <w:ind w:right="-17"/>
              <w:rPr>
                <w:color w:val="000000"/>
              </w:rPr>
            </w:pPr>
            <w:r>
              <w:rPr>
                <w:color w:val="000000"/>
              </w:rPr>
              <w:t>П. 39.12 изложить в следующей формулировке:</w:t>
            </w:r>
          </w:p>
          <w:p w14:paraId="3C97DB34" w14:textId="77777777" w:rsidR="006F358A" w:rsidRDefault="00A14EBE">
            <w:pPr>
              <w:ind w:right="-17"/>
              <w:rPr>
                <w:color w:val="000000"/>
              </w:rPr>
            </w:pPr>
            <w:r>
              <w:rPr>
                <w:color w:val="000000"/>
              </w:rPr>
              <w:t>Количество передаваемой документации:</w:t>
            </w:r>
          </w:p>
          <w:p w14:paraId="28C12CD7" w14:textId="77777777" w:rsidR="006F358A" w:rsidRDefault="00A14EBE">
            <w:pPr>
              <w:ind w:right="-17"/>
            </w:pPr>
            <w:r>
              <w:rPr>
                <w:color w:val="000000"/>
              </w:rPr>
              <w:t>- на цифровом носителе в 1 экземпляре</w:t>
            </w:r>
          </w:p>
        </w:tc>
      </w:tr>
      <w:tr w:rsidR="006F358A" w14:paraId="10772340" w14:textId="77777777">
        <w:tc>
          <w:tcPr>
            <w:tcW w:w="426" w:type="dxa"/>
            <w:tcMar>
              <w:left w:w="28" w:type="dxa"/>
              <w:right w:w="28" w:type="dxa"/>
            </w:tcMar>
          </w:tcPr>
          <w:p w14:paraId="16EE2BC3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4A118399" w14:textId="77777777" w:rsidR="006F358A" w:rsidRDefault="00A14EBE">
            <w:pPr>
              <w:pStyle w:val="4"/>
              <w:keepNext w:val="0"/>
              <w:widowControl w:val="0"/>
              <w:ind w:right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Приложения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CF2616C" w14:textId="77777777" w:rsidR="006F358A" w:rsidRDefault="00A14EBE">
            <w:pPr>
              <w:pStyle w:val="4"/>
              <w:keepNext w:val="0"/>
              <w:widowControl w:val="0"/>
              <w:ind w:right="0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18.1.</w:t>
            </w:r>
          </w:p>
        </w:tc>
        <w:tc>
          <w:tcPr>
            <w:tcW w:w="5921" w:type="dxa"/>
            <w:tcMar>
              <w:left w:w="28" w:type="dxa"/>
              <w:right w:w="28" w:type="dxa"/>
            </w:tcMar>
          </w:tcPr>
          <w:p w14:paraId="199021BC" w14:textId="77777777" w:rsidR="006F358A" w:rsidRDefault="00A14EBE">
            <w:pPr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Задание НИПИГАЗ № </w:t>
            </w:r>
            <w:r>
              <w:rPr>
                <w:rFonts w:cs="Arial"/>
                <w:bCs/>
                <w:sz w:val="22"/>
                <w:szCs w:val="22"/>
              </w:rPr>
              <w:t>AGCC.323-0000-06A-0010 с приложениями</w:t>
            </w:r>
            <w:r>
              <w:rPr>
                <w:color w:val="000000"/>
              </w:rPr>
              <w:t>;</w:t>
            </w:r>
          </w:p>
          <w:p w14:paraId="496AF74C" w14:textId="77777777" w:rsidR="006F358A" w:rsidRDefault="00A14EBE">
            <w:pPr>
              <w:ind w:right="-17"/>
              <w:rPr>
                <w:color w:val="000000"/>
              </w:rPr>
            </w:pPr>
            <w:r>
              <w:rPr>
                <w:color w:val="000000"/>
              </w:rPr>
              <w:t>Задания на расчёты и требования к расчётом по каждой структуре</w:t>
            </w:r>
          </w:p>
          <w:p w14:paraId="279DFBD2" w14:textId="77777777" w:rsidR="006F358A" w:rsidRDefault="00A14EBE">
            <w:pPr>
              <w:ind w:right="-17"/>
              <w:rPr>
                <w:color w:val="000000"/>
              </w:rPr>
            </w:pPr>
            <w:r>
              <w:rPr>
                <w:color w:val="000000"/>
              </w:rPr>
              <w:t>Контакты ведущих инженеров</w:t>
            </w:r>
          </w:p>
          <w:p w14:paraId="72D27FA0" w14:textId="77777777" w:rsidR="006F358A" w:rsidRDefault="006F358A">
            <w:pPr>
              <w:ind w:right="-17"/>
              <w:rPr>
                <w:color w:val="000000"/>
              </w:rPr>
            </w:pPr>
          </w:p>
        </w:tc>
      </w:tr>
    </w:tbl>
    <w:p w14:paraId="4590071F" w14:textId="77777777" w:rsidR="006F358A" w:rsidRDefault="006F358A">
      <w:pPr>
        <w:ind w:right="-850"/>
        <w:rPr>
          <w:color w:val="000000"/>
        </w:rPr>
      </w:pPr>
    </w:p>
    <w:tbl>
      <w:tblPr>
        <w:tblStyle w:val="aff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2"/>
        <w:gridCol w:w="3463"/>
      </w:tblGrid>
      <w:tr w:rsidR="006F358A" w14:paraId="3D14201E" w14:textId="77777777">
        <w:trPr>
          <w:trHeight w:val="534"/>
        </w:trPr>
        <w:tc>
          <w:tcPr>
            <w:tcW w:w="3936" w:type="dxa"/>
            <w:vAlign w:val="bottom"/>
          </w:tcPr>
          <w:p w14:paraId="416E04EE" w14:textId="77777777" w:rsidR="006F358A" w:rsidRDefault="006F358A"/>
        </w:tc>
        <w:tc>
          <w:tcPr>
            <w:tcW w:w="2632" w:type="dxa"/>
            <w:vMerge w:val="restart"/>
          </w:tcPr>
          <w:p w14:paraId="34C0020B" w14:textId="77777777" w:rsidR="006F358A" w:rsidRDefault="006F358A"/>
        </w:tc>
        <w:tc>
          <w:tcPr>
            <w:tcW w:w="3463" w:type="dxa"/>
            <w:vAlign w:val="bottom"/>
          </w:tcPr>
          <w:p w14:paraId="451B22D5" w14:textId="77777777" w:rsidR="006F358A" w:rsidRDefault="006F358A"/>
        </w:tc>
      </w:tr>
      <w:tr w:rsidR="006F358A" w14:paraId="28DB6BD9" w14:textId="77777777">
        <w:trPr>
          <w:trHeight w:val="684"/>
        </w:trPr>
        <w:tc>
          <w:tcPr>
            <w:tcW w:w="3936" w:type="dxa"/>
            <w:vAlign w:val="bottom"/>
          </w:tcPr>
          <w:p w14:paraId="4820F777" w14:textId="77777777" w:rsidR="006F358A" w:rsidRDefault="006F358A"/>
        </w:tc>
        <w:tc>
          <w:tcPr>
            <w:tcW w:w="2632" w:type="dxa"/>
            <w:vMerge/>
          </w:tcPr>
          <w:p w14:paraId="33C25E88" w14:textId="77777777" w:rsidR="006F358A" w:rsidRDefault="006F358A">
            <w:pPr>
              <w:rPr>
                <w:color w:val="000000"/>
              </w:rPr>
            </w:pPr>
          </w:p>
        </w:tc>
        <w:tc>
          <w:tcPr>
            <w:tcW w:w="3463" w:type="dxa"/>
            <w:vAlign w:val="bottom"/>
          </w:tcPr>
          <w:p w14:paraId="42B15A21" w14:textId="77777777" w:rsidR="006F358A" w:rsidRDefault="006F358A"/>
        </w:tc>
      </w:tr>
      <w:tr w:rsidR="006F358A" w14:paraId="18DC6C38" w14:textId="77777777">
        <w:trPr>
          <w:trHeight w:val="989"/>
        </w:trPr>
        <w:tc>
          <w:tcPr>
            <w:tcW w:w="3936" w:type="dxa"/>
            <w:vAlign w:val="bottom"/>
          </w:tcPr>
          <w:p w14:paraId="04C51EBB" w14:textId="77777777" w:rsidR="006F358A" w:rsidRDefault="006F358A"/>
        </w:tc>
        <w:tc>
          <w:tcPr>
            <w:tcW w:w="2632" w:type="dxa"/>
            <w:vMerge/>
          </w:tcPr>
          <w:p w14:paraId="19389692" w14:textId="77777777" w:rsidR="006F358A" w:rsidRDefault="006F358A">
            <w:pPr>
              <w:rPr>
                <w:color w:val="000000"/>
              </w:rPr>
            </w:pPr>
          </w:p>
        </w:tc>
        <w:tc>
          <w:tcPr>
            <w:tcW w:w="3463" w:type="dxa"/>
            <w:vAlign w:val="bottom"/>
          </w:tcPr>
          <w:p w14:paraId="2AF52014" w14:textId="77777777" w:rsidR="006F358A" w:rsidRDefault="006F358A"/>
        </w:tc>
      </w:tr>
    </w:tbl>
    <w:p w14:paraId="5B3068B9" w14:textId="77777777" w:rsidR="006F358A" w:rsidRDefault="006F358A"/>
    <w:sectPr w:rsidR="006F358A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C2FE" w14:textId="77777777" w:rsidR="00A14EBE" w:rsidRDefault="00A14EBE">
      <w:r>
        <w:separator/>
      </w:r>
    </w:p>
  </w:endnote>
  <w:endnote w:type="continuationSeparator" w:id="0">
    <w:p w14:paraId="01444E65" w14:textId="77777777" w:rsidR="00A14EBE" w:rsidRDefault="00A1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ABE1" w14:textId="77777777" w:rsidR="00A14EBE" w:rsidRDefault="00A14EBE">
      <w:r>
        <w:separator/>
      </w:r>
    </w:p>
  </w:footnote>
  <w:footnote w:type="continuationSeparator" w:id="0">
    <w:p w14:paraId="155D486B" w14:textId="77777777" w:rsidR="00A14EBE" w:rsidRDefault="00A1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FFA"/>
    <w:multiLevelType w:val="multilevel"/>
    <w:tmpl w:val="44D8A1C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-142" w:firstLine="567"/>
      </w:pPr>
      <w:rPr>
        <w:rFonts w:ascii="Symbol" w:hAnsi="Symbol" w:cs="Symbol" w:hint="default"/>
        <w:b w:val="0"/>
        <w:i w:val="0"/>
        <w:strike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7"/>
        </w:tabs>
        <w:ind w:left="0" w:firstLine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67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0" w:firstLine="567"/>
      </w:pPr>
      <w:rPr>
        <w:rFonts w:hint="default"/>
      </w:rPr>
    </w:lvl>
  </w:abstractNum>
  <w:abstractNum w:abstractNumId="1" w15:restartNumberingAfterBreak="0">
    <w:nsid w:val="17717FA9"/>
    <w:multiLevelType w:val="hybridMultilevel"/>
    <w:tmpl w:val="8424E616"/>
    <w:lvl w:ilvl="0" w:tplc="9D7C1DD0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38C40F86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F2EE2EE2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66CA6B6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26AAB2C6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3B0E6F0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355A082E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361C2022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2996E164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" w15:restartNumberingAfterBreak="0">
    <w:nsid w:val="1CDC4C34"/>
    <w:multiLevelType w:val="hybridMultilevel"/>
    <w:tmpl w:val="7076DFB2"/>
    <w:lvl w:ilvl="0" w:tplc="5300844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D643386">
      <w:start w:val="1"/>
      <w:numFmt w:val="lowerLetter"/>
      <w:lvlText w:val="%2."/>
      <w:lvlJc w:val="left"/>
      <w:pPr>
        <w:ind w:left="1080" w:hanging="360"/>
      </w:pPr>
    </w:lvl>
    <w:lvl w:ilvl="2" w:tplc="F86A7E02">
      <w:start w:val="1"/>
      <w:numFmt w:val="lowerRoman"/>
      <w:lvlText w:val="%3."/>
      <w:lvlJc w:val="right"/>
      <w:pPr>
        <w:ind w:left="1800" w:hanging="180"/>
      </w:pPr>
    </w:lvl>
    <w:lvl w:ilvl="3" w:tplc="A4DE8A08">
      <w:start w:val="1"/>
      <w:numFmt w:val="decimal"/>
      <w:lvlText w:val="%4."/>
      <w:lvlJc w:val="left"/>
      <w:pPr>
        <w:ind w:left="2520" w:hanging="360"/>
      </w:pPr>
    </w:lvl>
    <w:lvl w:ilvl="4" w:tplc="CF2EC0BC">
      <w:start w:val="1"/>
      <w:numFmt w:val="lowerLetter"/>
      <w:lvlText w:val="%5."/>
      <w:lvlJc w:val="left"/>
      <w:pPr>
        <w:ind w:left="3240" w:hanging="360"/>
      </w:pPr>
    </w:lvl>
    <w:lvl w:ilvl="5" w:tplc="A8101DE2">
      <w:start w:val="1"/>
      <w:numFmt w:val="lowerRoman"/>
      <w:lvlText w:val="%6."/>
      <w:lvlJc w:val="right"/>
      <w:pPr>
        <w:ind w:left="3960" w:hanging="180"/>
      </w:pPr>
    </w:lvl>
    <w:lvl w:ilvl="6" w:tplc="B562EFF6">
      <w:start w:val="1"/>
      <w:numFmt w:val="decimal"/>
      <w:lvlText w:val="%7."/>
      <w:lvlJc w:val="left"/>
      <w:pPr>
        <w:ind w:left="4680" w:hanging="360"/>
      </w:pPr>
    </w:lvl>
    <w:lvl w:ilvl="7" w:tplc="471432BA">
      <w:start w:val="1"/>
      <w:numFmt w:val="lowerLetter"/>
      <w:lvlText w:val="%8."/>
      <w:lvlJc w:val="left"/>
      <w:pPr>
        <w:ind w:left="5400" w:hanging="360"/>
      </w:pPr>
    </w:lvl>
    <w:lvl w:ilvl="8" w:tplc="7EBEBC5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AC3EA2"/>
    <w:multiLevelType w:val="hybridMultilevel"/>
    <w:tmpl w:val="1282461A"/>
    <w:lvl w:ilvl="0" w:tplc="ABDE0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04FE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4C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01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C6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01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09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659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DE5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64E74"/>
    <w:multiLevelType w:val="multilevel"/>
    <w:tmpl w:val="08C238F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FA0C08"/>
    <w:multiLevelType w:val="multilevel"/>
    <w:tmpl w:val="80E41A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425" w:firstLine="567"/>
      </w:pPr>
      <w:rPr>
        <w:rFonts w:hint="default"/>
        <w:i w:val="0"/>
        <w:strike w:val="0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7"/>
        </w:tabs>
        <w:ind w:left="0" w:firstLine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67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0" w:firstLine="567"/>
      </w:pPr>
      <w:rPr>
        <w:rFonts w:hint="default"/>
      </w:rPr>
    </w:lvl>
  </w:abstractNum>
  <w:abstractNum w:abstractNumId="6" w15:restartNumberingAfterBreak="0">
    <w:nsid w:val="396936DC"/>
    <w:multiLevelType w:val="hybridMultilevel"/>
    <w:tmpl w:val="C0063678"/>
    <w:lvl w:ilvl="0" w:tplc="0B08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9261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64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C1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6BF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40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CA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E5D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2B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241B6"/>
    <w:multiLevelType w:val="hybridMultilevel"/>
    <w:tmpl w:val="4F444FAC"/>
    <w:lvl w:ilvl="0" w:tplc="EFB22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C4E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06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7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2C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9C9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03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EB4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3A6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A6F03"/>
    <w:multiLevelType w:val="multilevel"/>
    <w:tmpl w:val="0790A37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425" w:firstLine="567"/>
      </w:pPr>
      <w:rPr>
        <w:rFonts w:hint="default"/>
        <w:i w:val="0"/>
        <w:strike w:val="0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7"/>
        </w:tabs>
        <w:ind w:left="0" w:firstLine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67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0" w:firstLine="567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8A"/>
    <w:rsid w:val="000276F9"/>
    <w:rsid w:val="006F358A"/>
    <w:rsid w:val="00A1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4AAA"/>
  <w15:docId w15:val="{CB577895-6FA6-455F-98D3-4FA16E9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49"/>
      <w:jc w:val="both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ind w:right="-801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i/>
      <w:iCs/>
      <w:sz w:val="2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i/>
      <w:iCs/>
      <w:sz w:val="26"/>
      <w:szCs w:val="20"/>
      <w:lang w:eastAsia="ru-RU"/>
    </w:rPr>
  </w:style>
  <w:style w:type="paragraph" w:styleId="af6">
    <w:name w:val="Body Text Indent"/>
    <w:basedOn w:val="a"/>
    <w:link w:val="af7"/>
    <w:pPr>
      <w:tabs>
        <w:tab w:val="left" w:pos="708"/>
      </w:tabs>
      <w:spacing w:line="360" w:lineRule="auto"/>
      <w:ind w:left="284"/>
      <w:jc w:val="both"/>
    </w:pPr>
  </w:style>
  <w:style w:type="character" w:customStyle="1" w:styleId="af7">
    <w:name w:val="Основной текст с отступом Знак"/>
    <w:basedOn w:val="a0"/>
    <w:link w:val="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9">
    <w:name w:val="Нижний колонтитул Знак"/>
    <w:basedOn w:val="a0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lock Text"/>
    <w:basedOn w:val="a"/>
    <w:pPr>
      <w:widowControl w:val="0"/>
      <w:spacing w:before="120" w:after="280" w:line="300" w:lineRule="auto"/>
      <w:ind w:left="601" w:right="2002"/>
      <w:jc w:val="center"/>
    </w:pPr>
    <w:rPr>
      <w:rFonts w:ascii="Arial" w:hAnsi="Arial"/>
      <w:sz w:val="28"/>
      <w:szCs w:val="20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62">
    <w:name w:val="Основной текст (6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4550</Characters>
  <Application>Microsoft Office Word</Application>
  <DocSecurity>0</DocSecurity>
  <Lines>37</Lines>
  <Paragraphs>10</Paragraphs>
  <ScaleCrop>false</ScaleCrop>
  <Company>Hewlett-Packard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Малышев Евгений Романович</dc:creator>
  <cp:lastModifiedBy>Калинин В.В.</cp:lastModifiedBy>
  <cp:revision>2</cp:revision>
  <dcterms:created xsi:type="dcterms:W3CDTF">2021-10-29T08:34:00Z</dcterms:created>
  <dcterms:modified xsi:type="dcterms:W3CDTF">2021-10-29T08:34:00Z</dcterms:modified>
</cp:coreProperties>
</file>