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725E52" w:rsidRPr="00EA159D" w:rsidTr="000072D6">
        <w:tc>
          <w:tcPr>
            <w:tcW w:w="5211" w:type="dxa"/>
            <w:shd w:val="clear" w:color="auto" w:fill="auto"/>
          </w:tcPr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Согласовано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ачальник  отдела  здравоохранения администрации  Пушкинского  района 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Санкт-Петербурга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А.В.Шашкин 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_______________ 2021 г.    </w:t>
            </w:r>
          </w:p>
        </w:tc>
        <w:tc>
          <w:tcPr>
            <w:tcW w:w="4536" w:type="dxa"/>
            <w:shd w:val="clear" w:color="auto" w:fill="auto"/>
          </w:tcPr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Утверждаю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Главный врач СПб ГБУЗ «Городская поликлиника № 60 Пушкинского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района»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А. О. Емельянов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«___»______________2021 г.</w:t>
            </w:r>
          </w:p>
        </w:tc>
      </w:tr>
    </w:tbl>
    <w:p w:rsidR="00725E52" w:rsidRPr="00EA159D" w:rsidRDefault="00725E52" w:rsidP="00725E5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5E52" w:rsidRPr="00EA159D" w:rsidRDefault="00725E52" w:rsidP="00725E5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>ТЕХНИЧЕСКОЕ  ЗАДАНИЕ</w:t>
      </w:r>
    </w:p>
    <w:p w:rsidR="00725E52" w:rsidRPr="00EA159D" w:rsidRDefault="00725E52" w:rsidP="00725E5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разработку проектно-сметной документации на </w:t>
      </w:r>
      <w:r w:rsidRPr="00EA159D">
        <w:rPr>
          <w:rFonts w:ascii="Times New Roman" w:eastAsia="Times New Roman" w:hAnsi="Times New Roman" w:cs="Times New Roman"/>
          <w:b/>
          <w:bCs/>
          <w:lang w:bidi="ar-SA"/>
        </w:rPr>
        <w:t xml:space="preserve">ремонт помещений цокольного и  1-го этажей, разработку проекта </w:t>
      </w: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благоустройство элементов благоустройства в отношении входных групп </w:t>
      </w:r>
      <w:r w:rsidRPr="00EA159D">
        <w:rPr>
          <w:rFonts w:ascii="Times New Roman" w:eastAsia="Times New Roman" w:hAnsi="Times New Roman" w:cs="Times New Roman"/>
          <w:b/>
          <w:bCs/>
          <w:lang w:bidi="ar-SA"/>
        </w:rPr>
        <w:t xml:space="preserve">здания поликлинического отделения № 67 СПб ГБУЗ «Городская поликлиника № 60 Пушкинского района»  по адресу: Санкт-Петербург, </w:t>
      </w:r>
    </w:p>
    <w:p w:rsidR="00725E52" w:rsidRPr="00EA159D" w:rsidRDefault="00725E52" w:rsidP="00725E52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b/>
          <w:bCs/>
          <w:lang w:bidi="ar-SA"/>
        </w:rPr>
        <w:t>г. Павловск,  ул. Госпитальная, д. 1, лит. 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2"/>
        <w:gridCol w:w="7261"/>
      </w:tblGrid>
      <w:tr w:rsidR="00725E52" w:rsidRPr="00EA159D" w:rsidTr="000072D6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21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Перечень основных данных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требований.</w:t>
            </w:r>
          </w:p>
        </w:tc>
        <w:tc>
          <w:tcPr>
            <w:tcW w:w="7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 данные и требования.</w:t>
            </w:r>
          </w:p>
        </w:tc>
      </w:tr>
      <w:tr w:rsidR="00725E52" w:rsidRPr="00EA159D" w:rsidTr="000072D6"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12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726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725E52" w:rsidRPr="00EA159D" w:rsidTr="000072D6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12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726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Входные группы (5 шт.) и помещения №№ 1-6,8,21,23-36,42-44 на цокольном этаже и помещения №№ 3,18-27,32,33,42,48,49,52-56 и тамбур главного входа на 1-ом этаже  (по поэтажному плану ПИБ) здания поликлинического отделения № 67 СПб ГБУЗ «Городская поликлиника № 60 Пушкинского района » </w:t>
            </w:r>
          </w:p>
        </w:tc>
      </w:tr>
      <w:tr w:rsidR="00725E52" w:rsidRPr="00EA159D" w:rsidTr="000072D6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Основание для проектирования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 Адресная программа на 2021 год;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Задание КГА Санкт-Петербурга на разработку проекта благоустройства элементов благоустройства №01-21-18-31049/20 от 08.09.2020 (далее,-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Задание КГА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).</w:t>
            </w:r>
          </w:p>
        </w:tc>
      </w:tr>
      <w:tr w:rsidR="00725E52" w:rsidRPr="00EA159D" w:rsidTr="000072D6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Район, пункт, площадка строительства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Санкт-Петербург, г. Павловск, ул. Госпитальная, д.1, лит. А </w:t>
            </w:r>
          </w:p>
        </w:tc>
      </w:tr>
      <w:tr w:rsidR="00725E52" w:rsidRPr="00EA159D" w:rsidTr="000072D6">
        <w:trPr>
          <w:trHeight w:val="455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Назначение объекта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Поликлиническое отделение</w:t>
            </w:r>
          </w:p>
        </w:tc>
      </w:tr>
      <w:tr w:rsidR="00725E52" w:rsidRPr="00EA159D" w:rsidTr="000072D6">
        <w:trPr>
          <w:trHeight w:val="449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строительства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Капитальный ремонт</w:t>
            </w:r>
          </w:p>
        </w:tc>
      </w:tr>
      <w:tr w:rsidR="00725E52" w:rsidRPr="00EA159D" w:rsidTr="000072D6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Заказчик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after="120"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СПб ГБУЗ «Городская поликлиника № 60 Пушкинского района »</w:t>
            </w:r>
          </w:p>
        </w:tc>
      </w:tr>
      <w:tr w:rsidR="00725E52" w:rsidRPr="00EA159D" w:rsidTr="000072D6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Проектная организация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итогам открытого аукциона в электронной форме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25E52" w:rsidRPr="00EA159D" w:rsidTr="000072D6">
        <w:trPr>
          <w:trHeight w:val="567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показатели и сведения об объекте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 xml:space="preserve">Помещения (объект проектирования) расположены на цокольном и первом этажах 4-х этажного кирпичного здания, 1969 года постройки. Перекрытия сборные ж/б с монолитными участками, стены кирпичные, перегородки гипсобетонные, оконные блоки ПВХ. Помещения имеют 5 входов, в т. ч. вход в цокольные помещения. Холодное водоснабжение, отопление, электроснабжение и канализация – централизованные. Горячее водоснабжение – электро-водонагреватели. Вентиляция – принудительная приточно-вытяжная система.  </w:t>
            </w:r>
          </w:p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val="en-US" w:bidi="ar-SA"/>
              </w:rPr>
              <w:t>S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bscript"/>
                <w:lang w:bidi="ar-SA"/>
              </w:rPr>
              <w:t>общая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=395,3м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 xml:space="preserve"> (цоколь)+364,5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(первый этаж)+4,6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(вход в цоколь)+6,0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(южное крыльцо входа на 1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й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этаж)+8,5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(крыльцо гл. входа)+7,8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 xml:space="preserve">(входные площадки северо-западного фасада, 2 шт) =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2"/>
                <w:szCs w:val="22"/>
                <w:lang w:bidi="ar-SA"/>
              </w:rPr>
              <w:t>786,7м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</w:p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</w:p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Н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bscript"/>
                <w:lang w:bidi="ar-SA"/>
              </w:rPr>
              <w:t>пом.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= 2,45/3,0 м</w:t>
            </w:r>
          </w:p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val="en-US" w:bidi="ar-SA"/>
              </w:rPr>
              <w:t>V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bscript"/>
                <w:lang w:bidi="ar-SA"/>
              </w:rPr>
              <w:t>пом.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=  2 061,9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3</w:t>
            </w:r>
          </w:p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val="en-US" w:bidi="ar-SA"/>
              </w:rPr>
              <w:t>S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bscript"/>
                <w:lang w:bidi="ar-SA"/>
              </w:rPr>
              <w:t>фасада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= 1928,6 м</w:t>
            </w: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vertAlign w:val="superscript"/>
                <w:lang w:bidi="ar-SA"/>
              </w:rPr>
              <w:t>2</w:t>
            </w:r>
          </w:p>
          <w:p w:rsidR="00725E52" w:rsidRPr="00EA159D" w:rsidRDefault="00725E52" w:rsidP="000072D6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bidi="ar-SA"/>
              </w:rPr>
              <w:t>Количество одновременно находящихся в помещениях человек – до 50 чел.</w:t>
            </w:r>
          </w:p>
        </w:tc>
      </w:tr>
      <w:tr w:rsidR="00725E52" w:rsidRPr="00EA159D" w:rsidTr="000072D6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Состав работ и документации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725E52" w:rsidRPr="00EA159D" w:rsidRDefault="00725E52" w:rsidP="00725E5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Отчет по результатам обмерных работ и инженерного обследования технического состояния строительных конструкций и внутренних инженерных сетей 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Проектно-сметная документация, в т. ч. проект благоустройства элементов благоустройства: 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61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Раздел "Архитектурные решения", в т. ч.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дизайн-проект всех помещений объекта с 3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D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визуализацией (не менее 3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vertAlign w:val="superscript"/>
                <w:lang w:bidi="ar-SA"/>
              </w:rPr>
              <w:t>х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вариантов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), проект благоустройства элементов благоустройства в отношении входных групп согласно задания КГА Санкт-Петербурга от 08.09.2020г. №01-21-18-31049/20 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Раздел "Конструктивны и объемно-планировочные решения ";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Раздел «Сведения об инженерном оборудовании, о сетях инженерно-технического обеспечения, перечень инженерно-технических мероприятий содержание технологических решений»;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«Система электроснабжения»;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«Система водоснабжения»;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«Система водоотведения»;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«Отопление, вентиляция и кондиционирование воздуха»;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«Сети связи»;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«Мероприятия по сохранению существующих систем КСОБ»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Подраздел «Технологические решения»;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«ПОС»;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 xml:space="preserve">Раздел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«Мероприятия по обеспечению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ресурсов»; 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«Мероприятия по обеспечению пожарной безопасности»;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«Мероприятия по обеспечению доступа инвалидов»;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 xml:space="preserve">Рабочая документация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(в необходимом объеме, в т. ч. узлы, разрезы и деталировки)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Раздел «Сметная документация»;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Прилагаемые документы: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Ведомости объемов работ, составленные по форме СПб ГБУ «Центр мониторинга и экспертизы цен»;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Спецификации применяемых материалов и оборудования;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0" w:firstLine="72"/>
              <w:contextualSpacing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Опросные листы на все оборудование,     предусмотренное спецификацией, выполненные в соответствии с данными изготовителей (поставщиков) оборудования. В наименовании опросного листа указать наименование оборудования, которое в нем описывается. Опросный лист должен содержать все сведения об оборудовании (функциональные. Технические и качественные характеристики, эксплуатационные характеристики оборудования), позволяющие определить параметры его эквивалентности. Соответствующие ссылки (обозначения опросных листов) отразить в графе 3 спецификации оборудования.</w:t>
            </w:r>
          </w:p>
          <w:p w:rsidR="00725E52" w:rsidRPr="00EA159D" w:rsidRDefault="00725E52" w:rsidP="00725E52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61" w:firstLine="0"/>
              <w:contextualSpacing/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bCs/>
                <w:iCs/>
                <w:color w:val="auto"/>
                <w:sz w:val="22"/>
                <w:szCs w:val="22"/>
                <w:lang w:bidi="ar-SA"/>
              </w:rPr>
              <w:t>Оригинал акта обследования, сохранения (сноса), пересадки зеленых насаждений и расчета размера их восстановительной стоимости (УСПХ)</w:t>
            </w:r>
          </w:p>
        </w:tc>
      </w:tr>
      <w:tr w:rsidR="00725E52" w:rsidRPr="00EA159D" w:rsidTr="000072D6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обмерным работам и техническому обследованию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Обмерные работы и обследование технического состояния (п.9.1) выполнять в соответствии с действующими законодательными, техническими нормами и правилами, в т. ч.: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 ГОСТ 31937-2011 «Здания и сооружения. Правила обследования и мониторинга технического состояния»;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СП 13-10-2003 «Правила обследования несущих строительных конструкций зданий  сооружений»;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ВСН 58-88(р) «Положение об организации проведения реконструкции, ремонта и технического обследования жилых зданий, объектов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коммунального хозяйства, социально-культурного и административного назначения» </w:t>
            </w:r>
          </w:p>
        </w:tc>
      </w:tr>
      <w:tr w:rsidR="00725E52" w:rsidRPr="00EA159D" w:rsidTr="000072D6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разделу ПОС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 соответствии с действующими законодательными и техническими нормами и правилами, в объеме требований СП 48.13330.2011 и МДС 12-46.2008.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В состав ПОС в обязательном порядке включаются: 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- Пояснительная записка с обоснованиями принятых решений и расчетами потребности в ресурсах,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обоснование потребности строительства в кадрах, основных строительных машинах, механизмах, транспортных средствах, а также в электроэнергии, воде, временных зданиях и сооружениях;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- Календарный план(график), с определением сроков и очередности (последовательности) выполнения работ, выделение этапов;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- Обоснование принятой продолжительности выполнения работ и отдельных этапов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-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 xml:space="preserve">- Описание особенностей проведения работ в стесненных условиях (в условиях работы действующего учреждения); 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Arial"/>
                <w:color w:val="auto"/>
                <w:sz w:val="22"/>
                <w:szCs w:val="22"/>
                <w:lang w:bidi="ar-SA"/>
              </w:rPr>
              <w:t>- Мероприятия по обеспечению сохранности и восстановлению зеленых насаждений.</w:t>
            </w:r>
          </w:p>
        </w:tc>
      </w:tr>
      <w:tr w:rsidR="00725E52" w:rsidRPr="00EA159D" w:rsidTr="000072D6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выполнению  разделов проектной документации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1. Разработать архитектурные, конструктивные и объемно-планировочные решения, содержащие материалы в текстовой и графической форме для обеспечения капитального ремонта помещений здания в целях исполнения Федеральной программы «Бережливая поликлиника», в соответствии с нормативными техническими требованиями, требованиями технических регламентов, в том числе, устанавливающими требования о безопасности зданий и сооружений, требования о пожарной безопасности зданий, требованиями СанПиН 2.4.1.3049-13.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2. Проектирование вести в соответствии с требованиями настоящего технического задания,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действующими законодательными, техническими нормами и правилами, в т. ч. :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- </w:t>
            </w: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Постановлением Правительства РФ от 16.02.2008 N 87"О составе разделов проектной документации и требованиях к их содержанию";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3. Проектированием предусмотреть: 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- комплекс мероприятий по устранению дефектов строительных конструкций, инженерных сетей и отделочных материалов, выявленных в результате обмерных работ и технического обследования,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ремонтные работы по усилению  строительных конструкций (при  необходимости), 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отделочные работы, 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ремонт (замена) инженерных сетей 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предусмотреть комплекс мероприятий по сохранению действующих элементов КСОБ.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 Ответственность за соответствие технического отчета, проектной документации требованиям Заказчика, действующим нормативным и законодательным требованиям, техническим регламентам, в том числе устанавливающим требования безопасной эксплуатации здания, исходным данным несёт Проектировщик.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 При необходимости, прочую исходно-разрешительную документацию, необходимую для выполнения Проектировщиком своих обязательств по Контракту и отсутствующую в наличии у Заказчика, получает (разрабатывает) Проектировщик.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6.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При согласовании Проектировщиком с Заказчиком объемно-планировочного решения уточняются дополнительные требования по оборудованию и отделке помещений.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</w:p>
        </w:tc>
      </w:tr>
      <w:tr w:rsidR="00725E52" w:rsidRPr="00EA159D" w:rsidTr="000072D6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требования к разделу «Сметная документация»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1. Формирование сметной стоимости осуществлять в соответствии с Методикой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04.08.2020 № 421/пр (далее - Методика).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2. Раздел «Смета» должен содержать текстовую часть в составе пояснительной записки к сметной документации, сметную документацию и приложения (п. 28-30 Постановления Правительства РФ от 16.02.2008 N 87"О составе разделов проектной документации и требованиях к их содержанию", п. 27 Методики). В пояснительной записке в том числе, указать итоговую сметную стоимость с распределением на строительно-монтажные работы, оборудование и прочие затраты.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К сметной документации должны быть приложены и являться ее неотъемлемыми частями: 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а) ведомости объемов работ (с указанием наименований работ, их единиц измерения и количества, ссылок на чертежи и спецификации, расчет объемов работ и расхода материальных ресурсов (с приведением формул расчета);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б) обосновывающие документы.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2. Выполнить: локальные сметы (ЛС), раздельно на каждый раздел проекта с формулами подсчета общего объема по видам работ; объектную смету (ОС - при необходимости) и сводный сметный расчет (ССРСС).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3. Сводный сметный расчет (ССРСС):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Представить в двух уровнях: в текущих ценах (с НДС) и в базисных ценах (без НДС).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За итогом ССРСС, при необходимости справочно учесть возврат металлолома с НДС.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В ССРСС включить: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резерв средств на непредвиденные работы и затраты - 2%;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сумму налога на добавленную стоимость - НДС - 20%.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4. Локальные сметы выполнить в текущем уровне цен, с применением базисно-индексного метода, в соответствии с положениями и требованиями Раздела II и Раздела III Методики, на основе территориальных сметных нормативов, введенных в действие распоряжением Комитета по Государственному заказу Санкт-Петербурга от 05.10.2015 № 196-р «Об утверждении территориальных сметных нормативов, предусмотренных для применения на территории Санкт-Петербурга»: ТССЦ 81-01-2001 СПб, ТСЭМ 81-01-2001 СПб, ТЕР 81-02-2001СПб, ТЕРм 81-03-2001СПб, ТЕРр 81-04-2001СПб, ТЕРп 81-05-2001СПб, ТЕРмр 81-06-2001СПб, ТССЦпг 81-01-2001СПб, входящих в состав ТСНБ «ГОСЭТАЛОН 2012» в последней действующей редакции,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внесенных в федеральный реестр сметных нормативов Приказом Минстроя России от 21.09.2015 № 675/пр; с применением индексов пересчета сметной стоимости к каждой единичной расценке и сведений о текущей стоимости строительных ресурсов, разрабатываемых СПб ГБУ «Центр мониторинга и экспертизы цен» и утверждаемых распоряжениями Комитета по государственному заказу Санкт-Петербурга.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5. Стоимость материальных ресурсов, оборудования, работ и услуг, не учтенных в расценках, принимать в текущем уровне цен в соответствии ТССЦ 81-01-2001 СПб. Стоимость материальных ресурсов, оборудования, работ и услуг, отсутствующих в ТССЦ 81-01-2001 СПб, определить на основании сбора информации о текущих ценах от не менее трех организаций-производителей и (или) поставщиков материальных ресурсов, оборудования, работ и услуг, далее - конъюнктурного анализа, проведенного в соответствии с требованиями пунктов 13-24 Методики. В сметный расчет включить наиболее экономичный вариант. Результаты конъюнктурного анализа представить в форме таблицы, приведенной в Приложении N 1 к Методике. Соответствующие ссылки на номер позиции материальных ресурсов, оборудования, работ и услуг из таблицы конъюнктурного анализа должны быть отображены в локальных сметах. Документы, предоставляемые производителями и (или) поставщиками материальных ресурсов, </w:t>
            </w: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lastRenderedPageBreak/>
              <w:t>оборудования, работ и услуг, должны быть оформлены, согласно пунктов 15-24 Методики, и должны быть приложены к сметной документации в качестве обосновывающих документов. В случае предоставления копий обосновывающих документов – должны быть заверены подписью и печатью проектной организации со штампом «Копия верна».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6.  В локальные сметы включить лимитированные затраты: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- Накладные расходы (МДС 81-33-2004 «Методические указания по определению величины накладных расходов в строительстве», постановление Госстроя России № 6 от 12.01.2004 г.  с учетом положений Письма Госстроя от 27.11.2012 N 2536-ИП/12/ГС)</w:t>
            </w:r>
          </w:p>
          <w:p w:rsidR="00725E52" w:rsidRPr="00EA159D" w:rsidRDefault="00725E52" w:rsidP="000072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- Сметную прибыль (МДС 81-25-2001 «Методические указания по определению величины сметной прибыли в строительстве», постановление Госстроя России № 15 от 28.02.2001 г., с учетом положений письма Федерального агентства по строительству и жилищно-коммунальному хозяйству от 18.11.2004 № АП-5536/06 и Письма Госстроя от 27.11.2012 N 2536-ИП/12/ГС. 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7. Сметные расчеты выполнить в сметной программе «Smeta Wizard» в последней действующей редакции.</w:t>
            </w:r>
          </w:p>
        </w:tc>
      </w:tr>
      <w:tr w:rsidR="00725E52" w:rsidRPr="00EA159D" w:rsidTr="000072D6">
        <w:trPr>
          <w:trHeight w:val="571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14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Сроки выполнения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</w:t>
            </w:r>
          </w:p>
        </w:tc>
        <w:tc>
          <w:tcPr>
            <w:tcW w:w="7261" w:type="dxa"/>
            <w:tcBorders>
              <w:left w:val="nil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ачало работ: с даты  подписания контракта сторонами.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highlight w:val="yellow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Окончание работ: 90 (девяносто) календарных дней</w:t>
            </w:r>
          </w:p>
        </w:tc>
      </w:tr>
      <w:tr w:rsidR="00725E52" w:rsidRPr="00EA159D" w:rsidTr="000072D6">
        <w:trPr>
          <w:trHeight w:val="4969"/>
        </w:trPr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Требования к согласованию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 Согласования с заинтересованными ведомствами и организациями выполняются Проектировщиком (Подрядчиком),  при содействии Заказчика в установленном порядке, в объеме требований действующих нормативных и законодательных документов, в том числе с :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Заказчиком, 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Комитетом по благоустройству (УСПХ);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КГИОП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- КГА Санкт-Петербурга.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Получить положительные заключения территориальных подразделений: 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Управление по Пушкинскому району ГУ МЧС России г. Санкт-Петербург,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- ФБУЗ «Центр гигиены и эпидемиологии     в городе Санкт-Петербург»                                                                                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ab/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   Время согласования входит в срок выполнения работ по контракту.</w:t>
            </w:r>
          </w:p>
          <w:p w:rsidR="00725E52" w:rsidRPr="00EA159D" w:rsidRDefault="00725E52" w:rsidP="000072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 Оплату за согласования проектно-сметной документации с негосударственными и федеральными организациями осуществляет подрядчик.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                                               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ab/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25E52" w:rsidRPr="00EA159D" w:rsidTr="000072D6"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Количество передаваемой Заказчику документации.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5E52" w:rsidRPr="00EA159D" w:rsidRDefault="00725E52" w:rsidP="000072D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Проектировщик (Подрядчик)  передает Заказчику: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1) Комплект документов (в соответствии с разделом 7 Технического задания)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бумажном носителе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переплетенном виде в четырех экземплярах: оригинал со всеми согласованиями – 1(один) экземпляр, копии оригинала со всеми согласованиями – 3(три) экземпляра;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2) Комплект документов (копия оригинала со всеми согласованиями) 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электронном носителе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1(одном) экземпляре -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CD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диске: таблицы в формате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Microsoft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Excel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текстовая часть в формате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Microsoft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Word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чертежи и схемы в двух форматах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Auto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CAD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переведенные в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PDF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3) Комплект документов (копия оригинала со всеми согласованиями) 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 электронном носителе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1(одном) экземпляре -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CD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диске в формате 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PDF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</w:t>
            </w:r>
          </w:p>
          <w:p w:rsidR="00725E52" w:rsidRPr="00EA159D" w:rsidRDefault="00725E52" w:rsidP="000072D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 Электронная версия документации должна быть передана Заказчику с возможностью редактирования.  </w:t>
            </w:r>
            <w:r w:rsidRPr="00EA159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Передача проектной документации в сканированном виде не допускается.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)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Электронная версия сметной документации должна быть передана Заказчику в формате файлов программы «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Wizard</w:t>
            </w: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».</w:t>
            </w:r>
          </w:p>
          <w:p w:rsidR="00725E52" w:rsidRPr="00EA159D" w:rsidRDefault="00725E52" w:rsidP="000072D6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15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4) Оригиналы экспертных заключений </w:t>
            </w:r>
          </w:p>
        </w:tc>
      </w:tr>
    </w:tbl>
    <w:p w:rsidR="00725E52" w:rsidRPr="00EA159D" w:rsidRDefault="00725E52" w:rsidP="00725E5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Составил:                </w:t>
      </w:r>
    </w:p>
    <w:p w:rsidR="00725E52" w:rsidRPr="00EA159D" w:rsidRDefault="00725E52" w:rsidP="00725E5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color w:val="auto"/>
          <w:lang w:bidi="ar-SA"/>
        </w:rPr>
        <w:t>Инженер отдела КР и ТН СПб ГБУ</w:t>
      </w:r>
    </w:p>
    <w:p w:rsidR="00725E52" w:rsidRPr="00EA159D" w:rsidRDefault="00725E52" w:rsidP="00725E5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«Служба заказчика Пушкинского р-на»                                                         </w:t>
      </w: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>А.И. Машков</w:t>
      </w:r>
    </w:p>
    <w:p w:rsidR="00725E52" w:rsidRPr="00EA159D" w:rsidRDefault="00725E52" w:rsidP="00725E5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5E52" w:rsidRPr="00EA159D" w:rsidRDefault="00725E52" w:rsidP="00725E5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>Согласовано:</w:t>
      </w:r>
    </w:p>
    <w:p w:rsidR="00725E52" w:rsidRPr="00EA159D" w:rsidRDefault="00725E52" w:rsidP="00725E5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A159D">
        <w:rPr>
          <w:rFonts w:ascii="Times New Roman" w:eastAsia="Times New Roman" w:hAnsi="Times New Roman" w:cs="Times New Roman"/>
          <w:color w:val="auto"/>
          <w:lang w:bidi="ar-SA"/>
        </w:rPr>
        <w:t>Заместитель директора СПб ГБУ</w:t>
      </w: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A159D">
        <w:rPr>
          <w:rFonts w:ascii="Times New Roman" w:eastAsia="Times New Roman" w:hAnsi="Times New Roman" w:cs="Times New Roman"/>
          <w:color w:val="auto"/>
          <w:lang w:bidi="ar-SA"/>
        </w:rPr>
        <w:t xml:space="preserve">«Служба заказчика Пушкинского р-на»                                                         </w:t>
      </w:r>
      <w:r w:rsidRPr="00EA159D">
        <w:rPr>
          <w:rFonts w:ascii="Times New Roman" w:eastAsia="Times New Roman" w:hAnsi="Times New Roman" w:cs="Times New Roman"/>
          <w:b/>
          <w:color w:val="auto"/>
          <w:lang w:bidi="ar-SA"/>
        </w:rPr>
        <w:t>О.Н. Соломина</w:t>
      </w: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25E52" w:rsidRPr="00EA159D" w:rsidRDefault="00725E52" w:rsidP="00725E5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E78F6" w:rsidRDefault="008E78F6">
      <w:bookmarkStart w:id="0" w:name="_GoBack"/>
      <w:bookmarkEnd w:id="0"/>
    </w:p>
    <w:sectPr w:rsidR="008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DD3"/>
    <w:multiLevelType w:val="hybridMultilevel"/>
    <w:tmpl w:val="9ED03A7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2B52715"/>
    <w:multiLevelType w:val="hybridMultilevel"/>
    <w:tmpl w:val="054C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EB6"/>
    <w:multiLevelType w:val="hybridMultilevel"/>
    <w:tmpl w:val="791A4B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A740EFE"/>
    <w:multiLevelType w:val="hybridMultilevel"/>
    <w:tmpl w:val="D2F24E3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9311C10"/>
    <w:multiLevelType w:val="multilevel"/>
    <w:tmpl w:val="0D5CBC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52"/>
    <w:rsid w:val="00725E52"/>
    <w:rsid w:val="008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E2E1-B1E8-44C1-A750-0A8F994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25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2021-04-13T10:31:00Z</dcterms:created>
  <dcterms:modified xsi:type="dcterms:W3CDTF">2021-04-13T10:32:00Z</dcterms:modified>
</cp:coreProperties>
</file>