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8"/>
        <w:gridCol w:w="5103"/>
        <w:tblGridChange w:id="0">
          <w:tblGrid>
            <w:gridCol w:w="5778"/>
            <w:gridCol w:w="510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Программа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на проектирование тренировочного манежа на стадионе «Труд» в г. Архангельске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Расположение временного тренировочного манежа на стадионе «Труд»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 Место для размещения временного тренировочного манежа на стадионе «Труд» - земельный участок  существующего теннисного корта (инвентарный номер сооружения 11:401:002:000222650; общая площадь сооружения 1368,2 кв.м.) по адресу: г. Архангельск, просп. Ломоносова, 252.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2. Категория спортивного сооружения - С</w:t>
      </w:r>
    </w:p>
    <w:tbl>
      <w:tblPr>
        <w:tblStyle w:val="Table2"/>
        <w:tblW w:w="10915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8363"/>
        <w:tblGridChange w:id="0">
          <w:tblGrid>
            <w:gridCol w:w="2552"/>
            <w:gridCol w:w="8363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Категория спортивного сооружения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Уровень спортивно-массовых мероприятий, проводимых на спортивном сооружении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firstLine="283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Международные и всероссийские физкультурные мероприятия и спортивные мероприятия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firstLine="283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  <w:rtl w:val="0"/>
              </w:rPr>
              <w:t xml:space="preserve">Межрегиональные физкультурные мероприятия и спортивные мероприятия, а также физкультурные мероприятия и спортивные мероприятия субъекта Российской Федерации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firstLine="283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Иные физкультурные мероприятия и спортивные мероприятия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3. Исходные данные для расчета площади временного тренировочного манежа на стадионе «Труд»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-единовременная пропускная способность, чел. – 24;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-размер площадки для мини-футбола, м - 40х20;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-размеры площадки с учетом зон безопасности, м – 44х 23,5;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-высота до низа выступающих конструкций над спортивной зоной, м – не менее 7;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-общая площадь объекта с АБК не более 1500 кв.м.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</w:rPr>
        <w:drawing>
          <wp:inline distB="0" distT="0" distL="114300" distR="114300">
            <wp:extent cx="5994400" cy="371221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712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Спортивная зона с разметкой для мини-футбола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1 - линия ворот; 2 - боковая линия; 3 - средняя линия;4 - штрафная площадь; 5 - граница центрального круга; 6 - центральная отметка; 7 - отметка пенальти; 8 - дополнительная отметка пенальти; 9 - зона замен; 10 - техническая зона; 11 - ворота; 12 - граница спортивной зоны; 13 - зона безопасности; 14 - стол хронометриста; 15 - скамейка запасных.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4. Перечень помещений тренировочного манежа на стадионе «Труд» в г. Архангельске</w:t>
      </w:r>
    </w:p>
    <w:tbl>
      <w:tblPr>
        <w:tblStyle w:val="Table3"/>
        <w:tblW w:w="1088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"/>
        <w:gridCol w:w="3791.999999999999"/>
        <w:gridCol w:w="1983.9999999999998"/>
        <w:gridCol w:w="2268.000000000001"/>
        <w:gridCol w:w="2125.999999999999"/>
        <w:tblGridChange w:id="0">
          <w:tblGrid>
            <w:gridCol w:w="711"/>
            <w:gridCol w:w="3791.999999999999"/>
            <w:gridCol w:w="1983.9999999999998"/>
            <w:gridCol w:w="2268.000000000001"/>
            <w:gridCol w:w="2125.99999999999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Наименование помещений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Кол-во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помещений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Площадь не менее, (кв.м)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Одного помещения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Всех помещений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Тамбур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13,3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13,3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Помещение администратора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Электрощитовая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8,8*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8,8*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Венткамера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22,2*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22,2*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Тепловой пункт, водомерный узел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13,2*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13,2*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Кладовая уборочного инвентаря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Санузел для МГН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Душевая для МГН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7,0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Раздевалка 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28,0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Душевая (две кабинки)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Санузел (унитаз, раковина)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Раздевалка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28,0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Душевая (две кабинки)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Санузел (унитаз, раковина)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Зона для хранения инвентаря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39,3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39,3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Коридор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62,0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Игровая зона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1084,8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1084,8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rtl w:val="0"/>
              </w:rPr>
              <w:t xml:space="preserve">Итого: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rtl w:val="0"/>
              </w:rPr>
              <w:t xml:space="preserve">1345,6</w:t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Планировка помещений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-942004784</wp:posOffset>
            </wp:positionH>
            <wp:positionV relativeFrom="paragraph">
              <wp:posOffset>-176999899</wp:posOffset>
            </wp:positionV>
            <wp:extent cx="98262427300" cy="72971342500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62427300" cy="7297134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Примечание: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Площади обозначенные (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*)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могут быть изменены (в том числе и в сторону увеличения) в связи с размещаемым в них оборудованием и должны обеспечивать условия нормальной эксплуатации, технического обслуживания и ремонта оборудования.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    Общая площадь объекта не должна превышать 1490 кв.м., при проектировании площади помещений могут незначительно корректироваться с учетом размеров перегородок, ограждающих конструкций и т.д., но не менее нормируемых.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    Расположение АБК необходимо предусмотреть со стороны хоккейного корта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1935594300</wp:posOffset>
            </wp:positionH>
            <wp:positionV relativeFrom="paragraph">
              <wp:posOffset>1935480000</wp:posOffset>
            </wp:positionV>
            <wp:extent cx="73838244500" cy="8903206730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38244500" cy="8903206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5. Требования к возводимому объекту.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5.1. Цветовые решения: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-на стадии проектирования согласовать с Заказчиком цветовые решения наружной части объекта и внутренней отделки помещений.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5.2. Несущие и ограждающие конструкции: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-материал каркаса – сталь, включая прогонные системы;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антикоррозионное покрытие стальных конструкций обеспечивающее длительную эксплуатацию без следов коррозии металла не менее 10 лет, цвет покрытия светлых тонов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-каркас сооружения должен быть полностью доступен для осмотра, технического обслуживания, монтажа дополнительного оборудования;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-стены –сэндвич панели;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-кровля –внешнее и внутреннее тентовое покрытие с утеплителем;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-ограждающие конструкция сооружения должны быть выполнены с учетом климатического района и позволять поддерживать требуемые параметры температуры воздуха, с учетом требований пожарной безопасности, высота стен не менее 3,5 м.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-должны быть предусмотрены условия энергоэффективности сооружения;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-должна быть предусмотрена зона безопасности вдоль скатной кровли сооружения на случай схода снега;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-должна быть предусмотрена возможность отвода воды с кровли.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5.3. Требования к дверным и оконным проёмам: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-дверные проемы по пути следования лиц, пользующихся креслами-колясками, должны иметь соответствующие размеры, а также позволять перемещение крупногабаритного спортивного оборудования, мебели т.д.;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-при разработке архитектурно-строительной части должны быть учтены требования к путям эвакуации, количеству запасных выходов;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двустворчатые двери на  входной зоне, запасных выходах;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ПВХ двери в санузлах, душевых, раздевалках и других помещениях;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-дверной проём из душевой МГН выполнить в помещение раздевалки;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ПВХ остекления в помещении администратора, в том числе и в перегородке смежной с тамбуром;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устройство фрамужных окон в раздевалках, тепловом пункте;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окна по длинной стороне игрового зала;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стальные двери в технических помещениях в соответствии с требованиями пожарной безопасности;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5.4. Требования к внутренней отделке АБК: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-устройство перегородок из металлического профиля, должны обладать несущей способностью;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-устройство тепло и шумоизоляции внутри перегородок и потолочных перекрытиях;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-облицовка перегородок гипсовинилом;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 санузлах, душевых облицовка стен керамической плиткой;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-пол в тамбуре, электрощитовой, венткамере, тепловом пункте, санузлах, душевых выполнить керамической плиткой, в остальных помещениях АБК -коммерческий линолеум;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-потолочное перекрытие над АБК выполнить таким, чтобы его прочность и конструктивное исполнение обеспечивали возможность перемещения по нему и соответственно доступ к инженерному оборудованию.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-чистовые потолки типа «Armstrong», в душевых и санузлах влагостойкие;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-применяемые материалы должны соответствовать требованиям пожарной безопасности.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 наличие в обеих раздевалках шкафчиков со скамейками на 15 человек.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5.5. Требования к устройству игрового зала: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-покрытие универсального игрового поля – паркет;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-наличие разметок для волейбола, баскетбола, мини-футбола;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-наличие в полу стаканов для крепления волейбольных стоек, узлов крепления  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футбольных ворот;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-наличие защитных сеток за линией ворот и вдоль игрового поля;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 зоне для размещение инвентаря должна быть предусмотрена возможность сдвигать защитную сетку;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-комплектация универсального игрового зала передвижными баскетбольными фермами, съемными волейбольными сетками, воротами для мини-футбола;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-для монтажа оборудования и сетей систем вентиляции, отопления, водоснабжения, электроснабжения максимально использовать зону над АБК;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-потолочное перекрытие над АБК выполнить таким, чтобы его прочность и конструктивное исполнение обеспечивали возможность перемещения по нему и соответственно доступ к инженерному оборудованию.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 Инженерные сети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6.1.Электрооборудование и электроосвещение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По степени надежности электроприемники проектируемого объекта относятся к I и II категории. К потребителям I категории относятся – аварийное освещение, пожарная и охранная сигнализации, оборудование  пожарного водопровода, автоматика индивидуального теплового пункта. 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В проекте необходимо предусмотреть: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 ВРУ для электроприемников I категории предусмотреть устройство АВР;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-ВРУ, распределительные и групповые силовые и щиты освещения, пятипроводную распределительную сеть и  пятипроводную и трехпроводную групповые электрические сети с глухозаземленной нейтралью напряжением 380/220 В в системе заземления типа TN-C-S, заземляющее устройство, основное и дополнительное уравнивание потенциалов;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-возможность осмотра и ремонта, замены внутренних электросетей;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-рабочее, аварийное и эвакуационное освещение (с источниками бесперебойного питания).  -светодиодные источники света, в соответствии с действующими нормами и правилами для крытых спортивных сооружений (гарантия на светодиодное оборудование, установленное в универсальном игровом зале должна быть–не менее 5 лет, в административно-бытовом блоке –не менее 3 лет;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-наружное освещение с фасадной стороны сооружения и над запасными выходами; 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-бытовую и компьютерную розеточные сети административно-бытового блока, точки электропитания с группами розеток 220 В в универсальном игровом зале, розетки в санузлах для подключения водонагревателей, рукосушителей;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-ящики с понижающими трансформаторами для ремонтного освещения в технических помещениях;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-электронагревательный котел для резервирования системы теплоснабжения (на нужды вентиляции и отопления универсального игрового зала в период отсутствия отопления);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-бытовые электрические водонагреватели (для резервирования ГВС в период отсутствия отопления);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Устройства защитного отключения, автоматические выключатели, кабели, не распространяющие горения, трубы, кабель-каналы для прокладки проводников и кабелей должны иметь Сертификат пожарной безопасности. Все оборудование и материалы должны иметь сертификат качества и сертификат соответствия.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6.2. Электроснабжение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Технологическое присоединение объекта к электрическим сетям ГАУ АО «Водник» выполнить  по II категории надежности электроснабжения. Расчетную мощность объекта определить проектом электрооборудование и электроосвещение. Получить ТУ на технологическое присоединение.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Точкой подключения принять РУ-0,4кВ трансформаторы-3,4 ТП №134.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Подключение осуществить взаимно резервирующими кабельными линиями, сечение кабелей определить проектом «наружные электрические сети»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Предусмотреть технический узел учета электрической энергии, учет запроектировать в соответствии с требованиями ПУЭ. В качестве прибора учета использовать электронные счетчики Меркурий с возможностью организации дистанционного снятия показаний. Место для установки приборов учета предусмотреть в РУ-0,4 кВ ТП № 134 по месту установки существующих приборов учета      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Разработанные проекты «электрооборудование и электроосвещение», «наружные электрические сети» согласовать с ПАО «МРСК Северо-Запада».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6.3. Отопление и вентиляция, кондиционирование.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В проекте отопление и вентиляция предусмотреть: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-систему ГВС от теплового пункта,  с резервированием от бытовых водонагревателей в период отсутствия теплоснабжения;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-отопление универсального игрового зала тепловентиляторами с водяными калориферами, с возможностью дистанционного регулирования производительности; теплоноситель - пропиленгликоль 40%; подбор производительности тепловентиляторов выполнить с учетом требований к воздушно-тепловому режиму игровых залов;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 помещениях административно-бытового блока биметаллические радиаторы с автоматическими термостатическими регуляторами.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-приточно-вытяжную систему вентиляции с водяными калориферами с утилизацией тепла, теплоноситель - пропиленгликоль 40%;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-автоматическое управление системой приточно-вытяжной вентиляции с возможностью регулирования её производительности по температуре наружного воздуха, температуре воздуха в канале на выходе с вентустановки.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-возможность резервирования теплоснабжения для нужд вентиляции и отопления от электрического котла;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-отключение систем вентиляции при пожаре;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-автоматическое закрывание огнезадерживающих клапанов на вентсистемах при возникновении пожара, а также автоматическое открывание после.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-шумоизоляцию на приточной и вытяжной вентустановках;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-сменные фильтрующие элементы на приточной вентиляции;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-теплоизоляцию на вентиляционных каналах и трубопроводах отопления и ГВС;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-нагрузки на отопление и вентиляцию универсального игрового зала - как технологические.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-систему осушения приточного воздуха.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6.4. Теплоснабжение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Рассмотреть возможность подключения к существующей наружной тепловой сети, проложенной от тепловой камеры ТК-8-1п-1 до существующего теплового пункта (диаметр трубопровода 57х4 мм; максимальная разрешенная тепловая нагрузка существующего теплового пункта– 0,215 Гкал/час; максимальный расход в отопительный период – 2,688 т/ч;)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Разработать проект автоматизированного теплового пункта и проект узла учета тепловой энергии и теплоносителя на основании технических условий подключения к системе теплоснабжения, выданных теплоснабжающей организацией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АГТС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ПАО «ТГК-2»;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абочий проект, разработанный в соответствии с настоящими техническими условиями, и проект узла учета согласовать в АГТС ПАО «ТГК-2».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   В проекте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автоматизированного теплового пункта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 необходимо предусмотреть: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-независимую схему подключения систем отопления и вентиляции к тепловой сети (в качестве теплоносителя – пропиленгликоль 40%);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-учесть тепловые нагрузки на отопление и вентиляцию универсального игрового зала как технологические.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-автоматизированный узел учета (Теплосчетчик марки СПТ с блоком питания от сети 220 В);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-схема подключения теплообменника ГВС – параллельная;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-наличие линии циркуляции ГВС, линии подпитки систем отопления и вентиляции;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-резервирование системы ГВС от электрокотлов (работа на данной системе при отсутствии теплоснабжения от тепловой сети);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предусмотреть установку запорно-регулирующей арматуры раздельно на систему отопления, вентиляции и ГВС для обеспечения возможности регулирования и ограничения расчетных расходов теплоносителя;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установить предохранительные устройства в соответствии с требованиями СП 41-101-95 «Проектирование тепловых пунктов»;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-предусмотреть теплоизоляцию оборудования тепловых узлов.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6.5. Водоснабжение и канализация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Рассмотреть возможность присоединения к существующему водопроводу, проложенному от колодца ВК/ПГ до существующего здания (диаметр водопроводного ввода – 100 мм).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Рассмотреть возможность присоединения к существующей системе хоз-бытовой канализации, проложенной от колодца к-IV до существующего здания (диаметр трубы – 100 мм).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Получить ТУ на технологическое присоединение. Проекты водоснабжения и канализации согласовать с поставщиком услуг ООО «РВК-центр».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Разработать проект коммерческого учета воды. Проект согласовать с поставщиком услуг ООО «РВК-центр».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 В проекте предусмотреть: 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-водосчетчик с обводной линией;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-повышающую насосную группу (возможность поддержания постоянного давления воды в диапазоне Р=2-4 кгс/см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три насоса (два основных, один резервный);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-насос пожарного водопровода.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6.6. Противопожарные мероприятия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Объемно-планировочные и конструктивные решения разработать на основании действующих правил пожарной безопасности зданий и сооружений, учесть требования к применяемым материалам.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Разработать проект автоматической пожарной сигнализации (АУПС), оповещения и управления эвакуацией (СОУЭ).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Предусмотреть отключение систем приточно-вытяжной вентиляции при пожаре.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Предусмотреть автоматическое закрывание огнезадерживающих клапанов на вентсистемах при возникновении пожара, а также автоматическое открывание после.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Предусмотреть внутренний противопожарный водопровод.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6.7. Радиофикация, связь, озвучивание, видеонаблюдение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Предусмотреть оптоволоконную линию связи от вспомогательного корпуса до проектируемого ФОК, локальную сеть с коммутационным оборудованием внутренние сети видеонаблюдения, звуковое оборудование, сети и оборудование для организации доступа маломобильных групп населения.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Звуковое оборудование: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колонка DSSPA (либо аналог) – 6 шт.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усилитель DSSPA (либо аналог) – 1 шт.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highlight w:val="white"/>
          <w:rtl w:val="0"/>
        </w:rPr>
        <w:t xml:space="preserve"> - спортивное универсальное светодиодное табло с возможностью подключения к ПК.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6.8. Система охранной сигнализации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В помещении администратора предусмотреть комплекс тревожной сигнализации, систему видеонаблюдения.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7. Покрытие универсального игрового поля (паркет)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Предусмотреть следующие виды работ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- Установка амортизаторов согласно шаблону на нижний слой фанеры;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 Два слоя фанеры монтируются под углом 45 град. по отношению к продольной оси зала и скрепляются между собой скобами 14/25 с помощью пневматического степлера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По краям площадки и под местом установки баскетбольной фермы сделать усиление из фанеры требуемой толщины.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Монтаж паркета производить от центральной продольной оси зала с использованием специальной центральной полосы (шип-шип). Обеспечивается подшпаклевание поверхностей (Смолы, сучки и тп) 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Монтаж паркета производить специальными L-образными гвоздями длиной не менее 2 дюймов.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Ряды паркета, примыкающие к стенам, монтировать с применением Т-образных гвоздей;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Исходя из равновесной влажности паркета предусмотреть зазоры между определенным количеством рядов паркетных плашек.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Шлифовку паркета осуществлять последовательно барабанными машинами с шлифовальными лентами Р 40, Р 60, Р 80 и планетарной машиной типа Spider с шлифовальной бумагой К 100. Перед нанесением масла и первого слоя лака паркет отшлифовать сеткой К 100 или К 120 с помощью монодисковой машины мощностью не менее 1700 Вт.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Для выделения зон безопасности (забеги), зон штрафных и центрального круга использовать специальное цветное импрегнирующее масло согласованного цвета. Использование краски для выделения зон не допускается.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В качестве финишного покрытия использовать двухкомпонентный полиуретановый лак на водной основе с показателем пожарной  безопасности КМ 1, что должно подтверждаться сертификатом соответствия.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Лак наносится в три слоя. Обязательно шлифовать второй слой лака после высыхания перед нанесением разметки и третьего слоя лака.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- Разметка (мини-футбол, баскетбол, волейбол) наносится на два слоя лака и запечатывается финишным, третьим слоем.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Материалы используемые для паркета (количество согласовывается согласно проектной документации и общей площади, покрываемой паркетом):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 Паркет для системы LIC Safe Panel System (SPS)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Материал- паркет дубовый средней полосы России. Толщина рабочего слоя не менее 8 мм, толщина паркетной плашки 20 мм, ширина от 50 до 70 мм, длина от 290 до 900 мм. Продолжительность сушки материала паркета не менее 45 суток в щадящем режиме для обеспечения стабильности размера, что подтверждается компьютерной диаграммой. Прочность по шкале Бринелля не менее 3,7.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Цвет паркета- натуральный дуб одной цветовой гаммы на все площади покрытия. Минимальный перепад по естественному окрасу древесины.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Толщина плашки- 20 мм, Ширина плашки- от 50 до 70 мм, Длина плашки- RL=от 300 до 900 мм.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Специальное цветное импрегнирующее масло для окраски зон безопасности (забеги), зоны штрафных бросков, трехсекундной зоны и центрального круга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Лак спортивный 2К ПУ повышенной износостойкости или эквивалент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Тип соединения - шип-паз, безклеевое.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Предназначение - Баскетбол, волейбол, мини-футбол, многофункциональные залы, бальные и эстрадные танцы, аэробика, боевые искусства.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8. Спортивное оборудование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 фермы баскетбольные мобильные складные– 2 шт.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 стойки волейбольные телескопические в комплекте с установочными стаканами комплект - 1 шт.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 ворота для мини-футбола  – 2 шт.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-крышки для волейбольных закладных согласно размерам стоек волейбольных (диаметр стойки);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Примечание: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Характеристики оборудования должны соответствовать характеристикам нижеперечисленного оборудования: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-фермы баскетбольные «Schelde Sport» (Бельгия) модель SAM 325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-стойки волейбольные с утановочными стаканами «Schelde» (Бельгия)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-ворота для мини-футбола «Schelde» (Бельгия)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9. Благоустройство территории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Проектом благоустройства предусмотреть: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-вывоз строительного мусора;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-восстановление и выравнивание существующих газонов;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-устройство асфальтированной (брусчатой) площадки перед центральной входной зоной и    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перед запасным выходом с тыльной стороны сооружения;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-разработать элементы наружного освещения в темное время суток;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-восстановление благоустройства территории в местах производства земляных работ по устройству   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  наружных инженерных сетей.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2"/>
        <w:gridCol w:w="4953"/>
        <w:tblGridChange w:id="0">
          <w:tblGrid>
            <w:gridCol w:w="4952"/>
            <w:gridCol w:w="495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