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tblCellMar>
          <w:left w:w="0" w:type="dxa"/>
          <w:right w:w="0" w:type="dxa"/>
        </w:tblCellMar>
        <w:tblLook w:val="0000"/>
      </w:tblPr>
      <w:tblGrid>
        <w:gridCol w:w="9957"/>
      </w:tblGrid>
      <w:tr w:rsidR="006A3118" w:rsidRPr="006A3118" w:rsidTr="006A3118">
        <w:tc>
          <w:tcPr>
            <w:tcW w:w="9957" w:type="dxa"/>
            <w:shd w:val="clear" w:color="auto" w:fill="FFFFFF"/>
          </w:tcPr>
          <w:p w:rsidR="006A3118" w:rsidRDefault="006A3118" w:rsidP="006A3118">
            <w:pPr>
              <w:spacing w:after="0" w:line="228" w:lineRule="auto"/>
              <w:jc w:val="center"/>
              <w:rPr>
                <w:rFonts w:ascii="Times New Roman" w:hAnsi="Times New Roman" w:cs="Times New Roman"/>
                <w:b/>
              </w:rPr>
            </w:pPr>
            <w:r w:rsidRPr="006A3118">
              <w:rPr>
                <w:rFonts w:ascii="Times New Roman" w:hAnsi="Times New Roman" w:cs="Times New Roman"/>
                <w:b/>
              </w:rPr>
              <w:t>ТЕХНИЧЕСКОЕ ЗАДАНИЕ</w:t>
            </w:r>
          </w:p>
          <w:p w:rsidR="006A3118" w:rsidRPr="006A3118" w:rsidRDefault="006A3118" w:rsidP="006A3118">
            <w:pPr>
              <w:spacing w:after="0" w:line="228" w:lineRule="auto"/>
              <w:jc w:val="center"/>
              <w:rPr>
                <w:rFonts w:ascii="Times New Roman" w:hAnsi="Times New Roman" w:cs="Times New Roman"/>
                <w:b/>
              </w:rPr>
            </w:pPr>
          </w:p>
          <w:p w:rsidR="00E527B7" w:rsidRPr="006A3118" w:rsidRDefault="006A3118" w:rsidP="00E527B7">
            <w:pPr>
              <w:spacing w:after="0" w:line="228" w:lineRule="auto"/>
              <w:ind w:left="360"/>
              <w:jc w:val="center"/>
              <w:rPr>
                <w:rFonts w:ascii="Times New Roman" w:hAnsi="Times New Roman" w:cs="Times New Roman"/>
                <w:b/>
              </w:rPr>
            </w:pPr>
            <w:r w:rsidRPr="006A3118">
              <w:rPr>
                <w:rFonts w:ascii="Times New Roman" w:hAnsi="Times New Roman" w:cs="Times New Roman"/>
                <w:b/>
                <w:color w:val="000000"/>
              </w:rPr>
              <w:t xml:space="preserve">на оказание услуг по проведению обследования (экспертизы) помещения хранилища № 5 здания склада АТВ литер Х войсковой части </w:t>
            </w:r>
          </w:p>
          <w:p w:rsidR="006A3118" w:rsidRPr="006A3118" w:rsidRDefault="006A3118" w:rsidP="006A3118">
            <w:pPr>
              <w:spacing w:after="0" w:line="228" w:lineRule="auto"/>
              <w:jc w:val="center"/>
              <w:rPr>
                <w:rFonts w:ascii="Times New Roman" w:hAnsi="Times New Roman" w:cs="Times New Roman"/>
                <w:b/>
              </w:rPr>
            </w:pPr>
          </w:p>
        </w:tc>
      </w:tr>
      <w:tr w:rsidR="006A3118" w:rsidRPr="006A3118" w:rsidTr="006A3118">
        <w:tc>
          <w:tcPr>
            <w:tcW w:w="9957" w:type="dxa"/>
            <w:shd w:val="clear" w:color="auto" w:fill="FFFFFF"/>
          </w:tcPr>
          <w:p w:rsidR="006A3118" w:rsidRPr="006A3118" w:rsidRDefault="006A3118" w:rsidP="006A3118">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4580"/>
              <w:gridCol w:w="4580"/>
            </w:tblGrid>
            <w:tr w:rsidR="006A3118" w:rsidRPr="006A3118" w:rsidTr="00DC6A2E">
              <w:trPr>
                <w:trHeight w:val="748"/>
                <w:tblHeader/>
              </w:trPr>
              <w:tc>
                <w:tcPr>
                  <w:tcW w:w="396" w:type="pct"/>
                  <w:vAlign w:val="center"/>
                </w:tcPr>
                <w:p w:rsidR="006A3118" w:rsidRPr="006A3118" w:rsidRDefault="006A3118" w:rsidP="006A3118">
                  <w:pPr>
                    <w:spacing w:after="0"/>
                    <w:rPr>
                      <w:rFonts w:ascii="Times New Roman" w:hAnsi="Times New Roman" w:cs="Times New Roman"/>
                      <w:b/>
                    </w:rPr>
                  </w:pPr>
                  <w:r w:rsidRPr="006A3118">
                    <w:rPr>
                      <w:rFonts w:ascii="Times New Roman" w:hAnsi="Times New Roman" w:cs="Times New Roman"/>
                      <w:b/>
                    </w:rPr>
                    <w:t xml:space="preserve">№ </w:t>
                  </w:r>
                  <w:proofErr w:type="spellStart"/>
                  <w:r w:rsidRPr="006A3118">
                    <w:rPr>
                      <w:rFonts w:ascii="Times New Roman" w:hAnsi="Times New Roman" w:cs="Times New Roman"/>
                      <w:b/>
                    </w:rPr>
                    <w:t>п</w:t>
                  </w:r>
                  <w:proofErr w:type="gramStart"/>
                  <w:r w:rsidRPr="006A3118">
                    <w:rPr>
                      <w:rFonts w:ascii="Times New Roman" w:hAnsi="Times New Roman" w:cs="Times New Roman"/>
                      <w:b/>
                    </w:rPr>
                    <w:t>.п</w:t>
                  </w:r>
                  <w:proofErr w:type="spellEnd"/>
                  <w:proofErr w:type="gramEnd"/>
                </w:p>
              </w:tc>
              <w:tc>
                <w:tcPr>
                  <w:tcW w:w="2302" w:type="pct"/>
                  <w:vAlign w:val="center"/>
                </w:tcPr>
                <w:p w:rsidR="006A3118" w:rsidRPr="006A3118" w:rsidRDefault="006A3118" w:rsidP="006A3118">
                  <w:pPr>
                    <w:spacing w:after="0"/>
                    <w:ind w:left="-108" w:right="-108"/>
                    <w:rPr>
                      <w:rFonts w:ascii="Times New Roman" w:hAnsi="Times New Roman" w:cs="Times New Roman"/>
                      <w:b/>
                    </w:rPr>
                  </w:pPr>
                  <w:r w:rsidRPr="006A3118">
                    <w:rPr>
                      <w:rFonts w:ascii="Times New Roman" w:hAnsi="Times New Roman" w:cs="Times New Roman"/>
                      <w:b/>
                    </w:rPr>
                    <w:t>Перечень основных данных и требований, выдаваемых инвестором (Заказчиком)</w:t>
                  </w:r>
                </w:p>
              </w:tc>
              <w:tc>
                <w:tcPr>
                  <w:tcW w:w="2302" w:type="pct"/>
                  <w:vAlign w:val="center"/>
                </w:tcPr>
                <w:p w:rsidR="006A3118" w:rsidRPr="006A3118" w:rsidRDefault="006A3118" w:rsidP="006A3118">
                  <w:pPr>
                    <w:spacing w:after="0"/>
                    <w:ind w:left="-29" w:right="-9"/>
                    <w:rPr>
                      <w:rFonts w:ascii="Times New Roman" w:hAnsi="Times New Roman" w:cs="Times New Roman"/>
                      <w:b/>
                    </w:rPr>
                  </w:pPr>
                  <w:r w:rsidRPr="006A3118">
                    <w:rPr>
                      <w:rFonts w:ascii="Times New Roman" w:hAnsi="Times New Roman" w:cs="Times New Roman"/>
                      <w:b/>
                    </w:rPr>
                    <w:t>Содержание основных данных и требований</w:t>
                  </w:r>
                </w:p>
              </w:tc>
            </w:tr>
            <w:tr w:rsidR="006A3118" w:rsidRPr="006A3118" w:rsidTr="00DC6A2E">
              <w:trPr>
                <w:trHeight w:val="744"/>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Наименование и адрес объекта</w:t>
                  </w:r>
                </w:p>
              </w:tc>
              <w:tc>
                <w:tcPr>
                  <w:tcW w:w="2302" w:type="pct"/>
                  <w:vAlign w:val="center"/>
                </w:tcPr>
                <w:p w:rsidR="006A3118" w:rsidRPr="00E527B7" w:rsidRDefault="006A3118" w:rsidP="00E527B7">
                  <w:pPr>
                    <w:autoSpaceDE w:val="0"/>
                    <w:autoSpaceDN w:val="0"/>
                    <w:adjustRightInd w:val="0"/>
                    <w:spacing w:after="0"/>
                    <w:rPr>
                      <w:rFonts w:ascii="Times New Roman" w:hAnsi="Times New Roman" w:cs="Times New Roman"/>
                    </w:rPr>
                  </w:pPr>
                  <w:r w:rsidRPr="006A3118">
                    <w:rPr>
                      <w:rFonts w:ascii="Times New Roman" w:hAnsi="Times New Roman" w:cs="Times New Roman"/>
                    </w:rPr>
                    <w:t>Помещение хранилища № 5 здания склада АТВ литер Х</w:t>
                  </w:r>
                </w:p>
              </w:tc>
            </w:tr>
            <w:tr w:rsidR="006A3118" w:rsidRPr="006A3118" w:rsidTr="00DC6A2E">
              <w:trPr>
                <w:trHeight w:val="744"/>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Основание для проведения</w:t>
                  </w:r>
                </w:p>
              </w:tc>
              <w:tc>
                <w:tcPr>
                  <w:tcW w:w="2302" w:type="pct"/>
                  <w:vAlign w:val="center"/>
                </w:tcPr>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Предписание надзорных органов</w:t>
                  </w:r>
                </w:p>
              </w:tc>
            </w:tr>
            <w:tr w:rsidR="006A3118" w:rsidRPr="006A3118" w:rsidTr="00DC6A2E">
              <w:trPr>
                <w:trHeight w:val="744"/>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Необходимые ремонтные работы</w:t>
                  </w:r>
                </w:p>
              </w:tc>
              <w:tc>
                <w:tcPr>
                  <w:tcW w:w="2302" w:type="pct"/>
                  <w:vAlign w:val="center"/>
                </w:tcPr>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Капитальный ремонт (при необходимости)</w:t>
                  </w:r>
                </w:p>
              </w:tc>
            </w:tr>
            <w:tr w:rsidR="006A3118" w:rsidRPr="006A3118" w:rsidTr="00DC6A2E">
              <w:trPr>
                <w:trHeight w:val="744"/>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Стадийность проектирования</w:t>
                  </w:r>
                </w:p>
              </w:tc>
              <w:tc>
                <w:tcPr>
                  <w:tcW w:w="2302" w:type="pct"/>
                  <w:vAlign w:val="center"/>
                </w:tcPr>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Рабочая документация</w:t>
                  </w:r>
                </w:p>
              </w:tc>
            </w:tr>
            <w:tr w:rsidR="006A3118" w:rsidRPr="006A3118" w:rsidTr="00DC6A2E">
              <w:trPr>
                <w:trHeight w:val="744"/>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Основные технико-экономические показатели,   назначение</w:t>
                  </w:r>
                </w:p>
              </w:tc>
              <w:tc>
                <w:tcPr>
                  <w:tcW w:w="2302" w:type="pct"/>
                  <w:vAlign w:val="center"/>
                </w:tcPr>
                <w:p w:rsidR="006A3118" w:rsidRPr="006A3118" w:rsidRDefault="006A3118" w:rsidP="006A3118">
                  <w:pPr>
                    <w:autoSpaceDE w:val="0"/>
                    <w:autoSpaceDN w:val="0"/>
                    <w:adjustRightInd w:val="0"/>
                    <w:spacing w:after="0"/>
                    <w:rPr>
                      <w:rFonts w:ascii="Times New Roman" w:hAnsi="Times New Roman" w:cs="Times New Roman"/>
                      <w:color w:val="FF0000"/>
                    </w:rPr>
                  </w:pPr>
                  <w:r w:rsidRPr="006A3118">
                    <w:rPr>
                      <w:rFonts w:ascii="Times New Roman" w:hAnsi="Times New Roman" w:cs="Times New Roman"/>
                    </w:rPr>
                    <w:t>Склад хранения оружия и боеприпасов</w:t>
                  </w:r>
                  <w:r w:rsidRPr="006A3118">
                    <w:rPr>
                      <w:rFonts w:ascii="Times New Roman" w:hAnsi="Times New Roman" w:cs="Times New Roman"/>
                      <w:color w:val="FF0000"/>
                    </w:rPr>
                    <w:t>.</w:t>
                  </w:r>
                </w:p>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Фундамент – монолитные сваи с монолитным ростверком.</w:t>
                  </w:r>
                </w:p>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Стены – Бетонные блоки.</w:t>
                  </w:r>
                </w:p>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 xml:space="preserve">Перекрытие – </w:t>
                  </w:r>
                  <w:proofErr w:type="gramStart"/>
                  <w:r w:rsidRPr="006A3118">
                    <w:rPr>
                      <w:rFonts w:ascii="Times New Roman" w:hAnsi="Times New Roman" w:cs="Times New Roman"/>
                    </w:rPr>
                    <w:t>ж/б</w:t>
                  </w:r>
                  <w:proofErr w:type="gramEnd"/>
                  <w:r w:rsidRPr="006A3118">
                    <w:rPr>
                      <w:rFonts w:ascii="Times New Roman" w:hAnsi="Times New Roman" w:cs="Times New Roman"/>
                    </w:rPr>
                    <w:t xml:space="preserve"> ребристые плиты.</w:t>
                  </w:r>
                </w:p>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Высота помещения – 5,2 м.</w:t>
                  </w:r>
                </w:p>
                <w:p w:rsidR="006A3118" w:rsidRPr="006A3118" w:rsidRDefault="006A3118" w:rsidP="006A3118">
                  <w:pPr>
                    <w:autoSpaceDE w:val="0"/>
                    <w:autoSpaceDN w:val="0"/>
                    <w:adjustRightInd w:val="0"/>
                    <w:spacing w:after="0"/>
                    <w:rPr>
                      <w:rFonts w:ascii="Times New Roman" w:hAnsi="Times New Roman" w:cs="Times New Roman"/>
                    </w:rPr>
                  </w:pPr>
                  <w:r w:rsidRPr="006A3118">
                    <w:rPr>
                      <w:rFonts w:ascii="Times New Roman" w:hAnsi="Times New Roman" w:cs="Times New Roman"/>
                    </w:rPr>
                    <w:t>Ширина помещения – 12,63 м.</w:t>
                  </w:r>
                </w:p>
                <w:p w:rsidR="006A3118" w:rsidRPr="006A3118" w:rsidRDefault="006A3118" w:rsidP="006A3118">
                  <w:pPr>
                    <w:autoSpaceDE w:val="0"/>
                    <w:autoSpaceDN w:val="0"/>
                    <w:adjustRightInd w:val="0"/>
                    <w:spacing w:after="0"/>
                    <w:rPr>
                      <w:rFonts w:ascii="Times New Roman" w:hAnsi="Times New Roman" w:cs="Times New Roman"/>
                    </w:rPr>
                  </w:pPr>
                  <w:proofErr w:type="gramStart"/>
                  <w:r w:rsidRPr="006A3118">
                    <w:rPr>
                      <w:rFonts w:ascii="Times New Roman" w:hAnsi="Times New Roman" w:cs="Times New Roman"/>
                    </w:rPr>
                    <w:t>Длинна</w:t>
                  </w:r>
                  <w:proofErr w:type="gramEnd"/>
                  <w:r w:rsidRPr="006A3118">
                    <w:rPr>
                      <w:rFonts w:ascii="Times New Roman" w:hAnsi="Times New Roman" w:cs="Times New Roman"/>
                    </w:rPr>
                    <w:t xml:space="preserve"> помещения – 11,74 м.</w:t>
                  </w:r>
                </w:p>
                <w:p w:rsidR="006A3118" w:rsidRPr="006A3118" w:rsidRDefault="006A3118" w:rsidP="006A3118">
                  <w:pPr>
                    <w:autoSpaceDE w:val="0"/>
                    <w:autoSpaceDN w:val="0"/>
                    <w:adjustRightInd w:val="0"/>
                    <w:spacing w:after="0"/>
                    <w:rPr>
                      <w:rFonts w:ascii="Times New Roman" w:hAnsi="Times New Roman" w:cs="Times New Roman"/>
                    </w:rPr>
                  </w:pPr>
                </w:p>
              </w:tc>
            </w:tr>
            <w:tr w:rsidR="006A3118" w:rsidRPr="006A3118" w:rsidTr="00DC6A2E">
              <w:trPr>
                <w:trHeight w:val="744"/>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Состав работ и требования к архитектурно-строительным и конструктивным решениям</w:t>
                  </w:r>
                </w:p>
              </w:tc>
              <w:tc>
                <w:tcPr>
                  <w:tcW w:w="2302" w:type="pct"/>
                  <w:vAlign w:val="center"/>
                </w:tcPr>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t>Инженерно-геологические изыскания.</w:t>
                  </w:r>
                </w:p>
                <w:p w:rsidR="006A3118" w:rsidRPr="006A3118" w:rsidRDefault="006A3118" w:rsidP="006A3118">
                  <w:pPr>
                    <w:autoSpaceDE w:val="0"/>
                    <w:autoSpaceDN w:val="0"/>
                    <w:adjustRightInd w:val="0"/>
                    <w:spacing w:after="0"/>
                    <w:ind w:left="34"/>
                    <w:rPr>
                      <w:rFonts w:ascii="Times New Roman" w:hAnsi="Times New Roman" w:cs="Times New Roman"/>
                      <w:iCs/>
                    </w:rPr>
                  </w:pPr>
                  <w:r w:rsidRPr="006A3118">
                    <w:rPr>
                      <w:rFonts w:ascii="Times New Roman" w:hAnsi="Times New Roman" w:cs="Times New Roman"/>
                    </w:rPr>
                    <w:t>Оценка технического состояния, фиксация дефектов и повреждений.</w:t>
                  </w:r>
                </w:p>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t>Расчет грунтов основания на действующие нагрузки с учетом постоянного потопления их грунтовыми водами с учетом фактических характеристик грунтов основания.</w:t>
                  </w:r>
                </w:p>
                <w:p w:rsidR="006A3118" w:rsidRPr="006A3118" w:rsidRDefault="006A3118" w:rsidP="006A3118">
                  <w:pPr>
                    <w:autoSpaceDE w:val="0"/>
                    <w:autoSpaceDN w:val="0"/>
                    <w:adjustRightInd w:val="0"/>
                    <w:spacing w:after="0"/>
                    <w:ind w:left="34"/>
                    <w:rPr>
                      <w:rFonts w:ascii="Times New Roman" w:hAnsi="Times New Roman" w:cs="Times New Roman"/>
                      <w:iCs/>
                    </w:rPr>
                  </w:pPr>
                  <w:r w:rsidRPr="006A3118">
                    <w:rPr>
                      <w:rFonts w:ascii="Times New Roman" w:hAnsi="Times New Roman" w:cs="Times New Roman"/>
                      <w:iCs/>
                    </w:rPr>
                    <w:t>Обмерные работы.</w:t>
                  </w:r>
                </w:p>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t>Определение причин возникновения дефектов, повреждений и подтопления.</w:t>
                  </w:r>
                </w:p>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t>Анализ гидрогеологической обстановки участка расположения объекта.</w:t>
                  </w:r>
                </w:p>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t>Рекомендации по восстановлению  конструкций, подверженных деструкции;</w:t>
                  </w:r>
                </w:p>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t>Разработка рекомендаций и локально-сметного расчета на замену, усиление и восстановление несущих конструкций, гидроизоляции помещения здания.</w:t>
                  </w:r>
                </w:p>
              </w:tc>
            </w:tr>
            <w:tr w:rsidR="006A3118" w:rsidRPr="006A3118" w:rsidTr="00DC6A2E">
              <w:trPr>
                <w:trHeight w:val="677"/>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Цель выполнения работ</w:t>
                  </w:r>
                </w:p>
              </w:tc>
              <w:tc>
                <w:tcPr>
                  <w:tcW w:w="2302" w:type="pct"/>
                  <w:vAlign w:val="center"/>
                </w:tcPr>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t>Выполнение инженерно-геологических изысканий и обследования строительных конструкций с разработкой рекомендаций по устранению дефектов.</w:t>
                  </w:r>
                </w:p>
                <w:p w:rsidR="006A3118" w:rsidRPr="006A3118" w:rsidRDefault="006A3118" w:rsidP="006A3118">
                  <w:pPr>
                    <w:autoSpaceDE w:val="0"/>
                    <w:autoSpaceDN w:val="0"/>
                    <w:adjustRightInd w:val="0"/>
                    <w:spacing w:after="0"/>
                    <w:ind w:left="34"/>
                    <w:rPr>
                      <w:rFonts w:ascii="Times New Roman" w:hAnsi="Times New Roman" w:cs="Times New Roman"/>
                    </w:rPr>
                  </w:pPr>
                  <w:r w:rsidRPr="006A3118">
                    <w:rPr>
                      <w:rFonts w:ascii="Times New Roman" w:hAnsi="Times New Roman" w:cs="Times New Roman"/>
                    </w:rPr>
                    <w:lastRenderedPageBreak/>
                    <w:t>Разработка рекомендаций по дальнейшей безопасной эксплуатации ограждающих и несущих конструкций помещения здания.</w:t>
                  </w:r>
                </w:p>
              </w:tc>
            </w:tr>
            <w:tr w:rsidR="006A3118" w:rsidRPr="006A3118" w:rsidTr="00DC6A2E">
              <w:trPr>
                <w:trHeight w:val="690"/>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Перечень работ и услуг, выполняемых Исполнителем</w:t>
                  </w:r>
                </w:p>
              </w:tc>
              <w:tc>
                <w:tcPr>
                  <w:tcW w:w="2302" w:type="pct"/>
                  <w:vAlign w:val="center"/>
                </w:tcPr>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Инженерно-геологические изыскания (бурение скважин, не менее 2 шт. глубиной 10 метров, с гидрогеологическими наблюдениями и отборами образцов грунтов, проходка шурфов для обследования оснований и подошвы фундаментов).</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Выявление и фиксация дефектов и повреждений.</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Обследование строительных конструкций.</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Составление эскизов, схем, ведомостей основных дефектов и повреждений в графических программных комплексах.</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Обмерные работы.</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Определение действительных статических схем работы несущих строительных конструкций.</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Определение фактического армирования (классы, диаметры, шаги и т.п.), толщины защитного слоя бетона несущих железобетонных конструкций.</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Определение дефектов и повреждений - ГОСТ31937-2011 и СП 13-102-2003.</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Определение прочностных характеристик бетона несущих железобетонных конструкций - ГОСТ 22690-88 или 22690-2015.</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Инструментальное определение параметров дефектов и повреждений (при их наличии), ширины и глубины раскрытия трещин (при их наличии).</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Проведение поверочных расчетов с учетом выявленных дефектов и отклонений конструкций, фактических нагрузок</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Составление Заключения (Заключений), рекомендаций по результатам обследования несущих конструкций  подвального помещения, результатам поверочных расчетов и оценке технического состояния несущих строительных конструкций по ГОСТ 31937-2011 и СП 13-102-2003и локально-сметного расчета на замену, усиление и восстановление несущих конструкций, гидроизоляции помещения здания.</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 xml:space="preserve">Передать заказчику Заключение, рекомендации и локально сметный расчет по усилению несущих конструкций, </w:t>
                  </w:r>
                  <w:r w:rsidRPr="006A3118">
                    <w:rPr>
                      <w:rFonts w:ascii="Times New Roman" w:hAnsi="Times New Roman" w:cs="Times New Roman"/>
                    </w:rPr>
                    <w:lastRenderedPageBreak/>
                    <w:t>гидроизоляции помещения в 4-х экземплярах на бумажном носителе и 1- м экземпляре в электронном виде.</w:t>
                  </w:r>
                </w:p>
              </w:tc>
            </w:tr>
            <w:tr w:rsidR="006A3118" w:rsidRPr="006A3118" w:rsidTr="00DC6A2E">
              <w:trPr>
                <w:trHeight w:val="1202"/>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Перечень конструкций, подлежащих усилению</w:t>
                  </w:r>
                </w:p>
              </w:tc>
              <w:tc>
                <w:tcPr>
                  <w:tcW w:w="2302" w:type="pct"/>
                  <w:vAlign w:val="center"/>
                </w:tcPr>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 Грунты основания;</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 Фундамент;</w:t>
                  </w:r>
                </w:p>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 Колонны и стены помещения;</w:t>
                  </w:r>
                </w:p>
                <w:p w:rsidR="006A3118" w:rsidRPr="006A3118" w:rsidRDefault="006A3118" w:rsidP="006A3118">
                  <w:pPr>
                    <w:tabs>
                      <w:tab w:val="left" w:pos="0"/>
                      <w:tab w:val="left" w:pos="709"/>
                      <w:tab w:val="left" w:pos="1083"/>
                    </w:tabs>
                    <w:overflowPunct w:val="0"/>
                    <w:autoSpaceDE w:val="0"/>
                    <w:autoSpaceDN w:val="0"/>
                    <w:adjustRightInd w:val="0"/>
                    <w:spacing w:after="0"/>
                    <w:ind w:left="-29" w:right="-9"/>
                    <w:rPr>
                      <w:rFonts w:ascii="Times New Roman" w:hAnsi="Times New Roman" w:cs="Times New Roman"/>
                    </w:rPr>
                  </w:pPr>
                  <w:r w:rsidRPr="006A3118">
                    <w:rPr>
                      <w:rFonts w:ascii="Times New Roman" w:hAnsi="Times New Roman" w:cs="Times New Roman"/>
                    </w:rPr>
                    <w:t>- Перекрытия помещения.</w:t>
                  </w:r>
                </w:p>
              </w:tc>
            </w:tr>
            <w:tr w:rsidR="006A3118" w:rsidRPr="006A3118" w:rsidTr="00DC6A2E">
              <w:trPr>
                <w:trHeight w:val="338"/>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Исходные данные для выполнения работ</w:t>
                  </w:r>
                </w:p>
              </w:tc>
              <w:tc>
                <w:tcPr>
                  <w:tcW w:w="2302" w:type="pct"/>
                  <w:vAlign w:val="center"/>
                </w:tcPr>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Чертежи строительных конструкций предоставляются Заказчиком в рабочем порядке.</w:t>
                  </w:r>
                </w:p>
              </w:tc>
            </w:tr>
            <w:tr w:rsidR="006A3118" w:rsidRPr="006A3118" w:rsidTr="00DC6A2E">
              <w:trPr>
                <w:trHeight w:val="690"/>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Перечень работ и услуг, необходимых для проведения обследования, предоставляемых Заказчиком</w:t>
                  </w:r>
                </w:p>
              </w:tc>
              <w:tc>
                <w:tcPr>
                  <w:tcW w:w="2302" w:type="pct"/>
                  <w:vAlign w:val="center"/>
                </w:tcPr>
                <w:p w:rsidR="006A3118" w:rsidRPr="006A3118" w:rsidRDefault="006A3118" w:rsidP="006A3118">
                  <w:pPr>
                    <w:tabs>
                      <w:tab w:val="left" w:pos="0"/>
                      <w:tab w:val="left" w:pos="709"/>
                      <w:tab w:val="left" w:pos="1083"/>
                    </w:tabs>
                    <w:overflowPunct w:val="0"/>
                    <w:autoSpaceDE w:val="0"/>
                    <w:autoSpaceDN w:val="0"/>
                    <w:adjustRightInd w:val="0"/>
                    <w:spacing w:after="0"/>
                    <w:ind w:right="-9"/>
                    <w:rPr>
                      <w:rFonts w:ascii="Times New Roman" w:hAnsi="Times New Roman" w:cs="Times New Roman"/>
                    </w:rPr>
                  </w:pPr>
                  <w:r w:rsidRPr="006A3118">
                    <w:rPr>
                      <w:rFonts w:ascii="Times New Roman" w:hAnsi="Times New Roman" w:cs="Times New Roman"/>
                    </w:rPr>
                    <w:t>Доступ на территорию объекта для проведения инженерно-геологических изысканий и выполнения обследования.</w:t>
                  </w:r>
                </w:p>
              </w:tc>
            </w:tr>
            <w:tr w:rsidR="006A3118" w:rsidRPr="006A3118" w:rsidTr="00DC6A2E">
              <w:trPr>
                <w:trHeight w:val="730"/>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 xml:space="preserve">Признаки идентификации зданий и сооружений в соответствии с ФЗ </w:t>
                  </w:r>
                  <w:proofErr w:type="gramStart"/>
                  <w:r w:rsidRPr="006A3118">
                    <w:rPr>
                      <w:rFonts w:ascii="Times New Roman" w:hAnsi="Times New Roman" w:cs="Times New Roman"/>
                    </w:rPr>
                    <w:t>от</w:t>
                  </w:r>
                  <w:proofErr w:type="gramEnd"/>
                </w:p>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30.12.2009 г. №384 «Технический регламент о безопасности зданий и сооружений, в том числе:</w:t>
                  </w:r>
                </w:p>
              </w:tc>
              <w:tc>
                <w:tcPr>
                  <w:tcW w:w="2302" w:type="pct"/>
                  <w:vAlign w:val="center"/>
                </w:tcPr>
                <w:p w:rsidR="006A3118" w:rsidRPr="006A3118" w:rsidRDefault="006A3118" w:rsidP="006A3118">
                  <w:pPr>
                    <w:spacing w:after="0"/>
                    <w:ind w:left="-29" w:right="-9" w:firstLine="180"/>
                    <w:rPr>
                      <w:rFonts w:ascii="Times New Roman" w:hAnsi="Times New Roman" w:cs="Times New Roman"/>
                    </w:rPr>
                  </w:pPr>
                </w:p>
              </w:tc>
            </w:tr>
            <w:tr w:rsidR="006A3118" w:rsidRPr="006A3118" w:rsidTr="00DC6A2E">
              <w:trPr>
                <w:trHeight w:val="551"/>
              </w:trPr>
              <w:tc>
                <w:tcPr>
                  <w:tcW w:w="396" w:type="pct"/>
                  <w:vAlign w:val="center"/>
                </w:tcPr>
                <w:p w:rsidR="006A3118" w:rsidRPr="006A3118" w:rsidRDefault="006A3118" w:rsidP="006A3118">
                  <w:pPr>
                    <w:numPr>
                      <w:ilvl w:val="1"/>
                      <w:numId w:val="2"/>
                    </w:numPr>
                    <w:tabs>
                      <w:tab w:val="left" w:pos="498"/>
                    </w:tabs>
                    <w:spacing w:after="0" w:line="240" w:lineRule="auto"/>
                    <w:contextualSpacing/>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Назначение объекта</w:t>
                  </w:r>
                </w:p>
              </w:tc>
              <w:tc>
                <w:tcPr>
                  <w:tcW w:w="2302" w:type="pct"/>
                  <w:vAlign w:val="center"/>
                </w:tcPr>
                <w:p w:rsidR="006A3118" w:rsidRPr="006A3118" w:rsidRDefault="006A3118" w:rsidP="006A3118">
                  <w:pPr>
                    <w:spacing w:after="0"/>
                    <w:ind w:right="-9"/>
                    <w:rPr>
                      <w:rFonts w:ascii="Times New Roman" w:hAnsi="Times New Roman" w:cs="Times New Roman"/>
                    </w:rPr>
                  </w:pPr>
                  <w:r w:rsidRPr="006A3118">
                    <w:rPr>
                      <w:rFonts w:ascii="Times New Roman" w:hAnsi="Times New Roman" w:cs="Times New Roman"/>
                    </w:rPr>
                    <w:t>Склад военно-технического имущества</w:t>
                  </w:r>
                </w:p>
              </w:tc>
            </w:tr>
            <w:tr w:rsidR="006A3118" w:rsidRPr="006A3118" w:rsidTr="00DC6A2E">
              <w:trPr>
                <w:trHeight w:val="1243"/>
              </w:trPr>
              <w:tc>
                <w:tcPr>
                  <w:tcW w:w="396" w:type="pct"/>
                  <w:vAlign w:val="center"/>
                </w:tcPr>
                <w:p w:rsidR="006A3118" w:rsidRPr="006A3118" w:rsidRDefault="006A3118" w:rsidP="006A3118">
                  <w:pPr>
                    <w:numPr>
                      <w:ilvl w:val="1"/>
                      <w:numId w:val="2"/>
                    </w:numPr>
                    <w:tabs>
                      <w:tab w:val="left" w:pos="498"/>
                    </w:tabs>
                    <w:spacing w:after="0" w:line="240" w:lineRule="auto"/>
                    <w:contextualSpacing/>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 xml:space="preserve">Принадлежность к объектам транспортной инфраструктуры и к другим объектам, функционально-технологические </w:t>
                  </w:r>
                  <w:proofErr w:type="gramStart"/>
                  <w:r w:rsidRPr="006A3118">
                    <w:rPr>
                      <w:rFonts w:ascii="Times New Roman" w:hAnsi="Times New Roman" w:cs="Times New Roman"/>
                    </w:rPr>
                    <w:t>особенности</w:t>
                  </w:r>
                  <w:proofErr w:type="gramEnd"/>
                  <w:r w:rsidRPr="006A3118">
                    <w:rPr>
                      <w:rFonts w:ascii="Times New Roman" w:hAnsi="Times New Roman" w:cs="Times New Roman"/>
                    </w:rPr>
                    <w:t xml:space="preserve"> которых влияют на их безопасность</w:t>
                  </w:r>
                </w:p>
              </w:tc>
              <w:tc>
                <w:tcPr>
                  <w:tcW w:w="2302" w:type="pct"/>
                  <w:vAlign w:val="center"/>
                </w:tcPr>
                <w:p w:rsidR="006A3118" w:rsidRPr="006A3118" w:rsidRDefault="006A3118" w:rsidP="006A3118">
                  <w:pPr>
                    <w:spacing w:after="0"/>
                    <w:ind w:left="-29" w:right="-9"/>
                    <w:rPr>
                      <w:rFonts w:ascii="Times New Roman" w:hAnsi="Times New Roman" w:cs="Times New Roman"/>
                    </w:rPr>
                  </w:pPr>
                  <w:r w:rsidRPr="006A3118">
                    <w:rPr>
                      <w:rFonts w:ascii="Times New Roman" w:hAnsi="Times New Roman" w:cs="Times New Roman"/>
                    </w:rPr>
                    <w:t>Не относится к объектам транспортной инфраструктуры</w:t>
                  </w:r>
                </w:p>
              </w:tc>
            </w:tr>
            <w:tr w:rsidR="006A3118" w:rsidRPr="006A3118" w:rsidTr="00DC6A2E">
              <w:trPr>
                <w:trHeight w:val="1116"/>
              </w:trPr>
              <w:tc>
                <w:tcPr>
                  <w:tcW w:w="396" w:type="pct"/>
                  <w:vAlign w:val="center"/>
                </w:tcPr>
                <w:p w:rsidR="006A3118" w:rsidRPr="006A3118" w:rsidRDefault="006A3118" w:rsidP="006A3118">
                  <w:pPr>
                    <w:numPr>
                      <w:ilvl w:val="1"/>
                      <w:numId w:val="2"/>
                    </w:numPr>
                    <w:tabs>
                      <w:tab w:val="left" w:pos="498"/>
                    </w:tabs>
                    <w:spacing w:after="0" w:line="240" w:lineRule="auto"/>
                    <w:contextualSpacing/>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Принадлежность к опасным производственным объектам и классификация объекта</w:t>
                  </w:r>
                </w:p>
              </w:tc>
              <w:tc>
                <w:tcPr>
                  <w:tcW w:w="2302" w:type="pct"/>
                  <w:vAlign w:val="center"/>
                </w:tcPr>
                <w:p w:rsidR="006A3118" w:rsidRPr="006A3118" w:rsidRDefault="006A3118" w:rsidP="006A3118">
                  <w:pPr>
                    <w:spacing w:after="0"/>
                    <w:ind w:right="-9"/>
                    <w:rPr>
                      <w:rFonts w:ascii="Times New Roman" w:hAnsi="Times New Roman" w:cs="Times New Roman"/>
                      <w:spacing w:val="-2"/>
                    </w:rPr>
                  </w:pPr>
                  <w:r w:rsidRPr="006A3118">
                    <w:rPr>
                      <w:rFonts w:ascii="Times New Roman" w:hAnsi="Times New Roman" w:cs="Times New Roman"/>
                      <w:spacing w:val="-2"/>
                    </w:rPr>
                    <w:t>2 класс опасности</w:t>
                  </w:r>
                </w:p>
              </w:tc>
            </w:tr>
            <w:tr w:rsidR="006A3118" w:rsidRPr="006A3118" w:rsidTr="00DC6A2E">
              <w:trPr>
                <w:trHeight w:val="901"/>
              </w:trPr>
              <w:tc>
                <w:tcPr>
                  <w:tcW w:w="396" w:type="pct"/>
                  <w:vAlign w:val="center"/>
                </w:tcPr>
                <w:p w:rsidR="006A3118" w:rsidRPr="006A3118" w:rsidRDefault="006A3118" w:rsidP="006A3118">
                  <w:pPr>
                    <w:numPr>
                      <w:ilvl w:val="0"/>
                      <w:numId w:val="2"/>
                    </w:numPr>
                    <w:tabs>
                      <w:tab w:val="left" w:pos="207"/>
                    </w:tabs>
                    <w:spacing w:after="0" w:line="240" w:lineRule="auto"/>
                    <w:rPr>
                      <w:rFonts w:ascii="Times New Roman" w:hAnsi="Times New Roman" w:cs="Times New Roman"/>
                    </w:rPr>
                  </w:pPr>
                </w:p>
              </w:tc>
              <w:tc>
                <w:tcPr>
                  <w:tcW w:w="2302" w:type="pct"/>
                  <w:vAlign w:val="center"/>
                </w:tcPr>
                <w:p w:rsidR="006A3118" w:rsidRPr="006A3118" w:rsidRDefault="006A3118" w:rsidP="006A3118">
                  <w:pPr>
                    <w:spacing w:after="0"/>
                    <w:rPr>
                      <w:rFonts w:ascii="Times New Roman" w:hAnsi="Times New Roman" w:cs="Times New Roman"/>
                    </w:rPr>
                  </w:pPr>
                  <w:r w:rsidRPr="006A3118">
                    <w:rPr>
                      <w:rFonts w:ascii="Times New Roman" w:hAnsi="Times New Roman" w:cs="Times New Roman"/>
                    </w:rPr>
                    <w:t>Требование к исполнителю</w:t>
                  </w:r>
                </w:p>
              </w:tc>
              <w:tc>
                <w:tcPr>
                  <w:tcW w:w="2302" w:type="pct"/>
                  <w:vAlign w:val="center"/>
                </w:tcPr>
                <w:p w:rsidR="006A3118" w:rsidRPr="006A3118" w:rsidRDefault="006A3118" w:rsidP="006A3118">
                  <w:pPr>
                    <w:tabs>
                      <w:tab w:val="left" w:pos="0"/>
                      <w:tab w:val="left" w:pos="417"/>
                    </w:tabs>
                    <w:spacing w:after="0"/>
                    <w:ind w:left="-29" w:right="-9" w:firstLine="29"/>
                    <w:rPr>
                      <w:rFonts w:ascii="Times New Roman" w:hAnsi="Times New Roman" w:cs="Times New Roman"/>
                    </w:rPr>
                  </w:pPr>
                  <w:r w:rsidRPr="006A3118">
                    <w:rPr>
                      <w:rFonts w:ascii="Times New Roman" w:hAnsi="Times New Roman" w:cs="Times New Roman"/>
                    </w:rPr>
                    <w:t>Наличие действующей лицензии СРО по обследованию строительных конструкций, по подготовке конструктивных решений.</w:t>
                  </w:r>
                </w:p>
              </w:tc>
            </w:tr>
          </w:tbl>
          <w:p w:rsidR="006A3118" w:rsidRPr="006A3118" w:rsidRDefault="006A3118" w:rsidP="006A3118">
            <w:pPr>
              <w:tabs>
                <w:tab w:val="left" w:pos="284"/>
              </w:tabs>
              <w:spacing w:after="0" w:line="228" w:lineRule="auto"/>
              <w:rPr>
                <w:rFonts w:ascii="Times New Roman" w:hAnsi="Times New Roman" w:cs="Times New Roman"/>
                <w:b/>
              </w:rPr>
            </w:pPr>
          </w:p>
          <w:p w:rsidR="006A3118" w:rsidRPr="006A3118" w:rsidRDefault="006A3118" w:rsidP="006A3118">
            <w:pPr>
              <w:pStyle w:val="a7"/>
              <w:spacing w:line="228" w:lineRule="auto"/>
              <w:ind w:right="176" w:firstLine="567"/>
              <w:rPr>
                <w:rFonts w:cs="Times New Roman"/>
                <w:color w:val="000000"/>
              </w:rPr>
            </w:pPr>
            <w:r w:rsidRPr="006A3118">
              <w:rPr>
                <w:rFonts w:cs="Times New Roman"/>
                <w:b/>
                <w:color w:val="000000"/>
              </w:rPr>
              <w:t>2. Результатом исполнения договора</w:t>
            </w:r>
            <w:r w:rsidRPr="006A3118">
              <w:rPr>
                <w:rFonts w:cs="Times New Roman"/>
                <w:color w:val="000000"/>
              </w:rPr>
              <w:t xml:space="preserve"> является передача Заказчику технической документации:</w:t>
            </w:r>
          </w:p>
          <w:p w:rsidR="006A3118" w:rsidRPr="006A3118" w:rsidRDefault="006A3118" w:rsidP="006A3118">
            <w:pPr>
              <w:snapToGrid w:val="0"/>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t>2.1. После проведения работ по обследованию (экспертизе) несущих конструкций помещения здания:</w:t>
            </w:r>
          </w:p>
          <w:p w:rsidR="006A3118" w:rsidRPr="006A3118" w:rsidRDefault="006A3118" w:rsidP="006A3118">
            <w:pPr>
              <w:numPr>
                <w:ilvl w:val="1"/>
                <w:numId w:val="1"/>
              </w:numPr>
              <w:tabs>
                <w:tab w:val="left" w:pos="0"/>
              </w:tabs>
              <w:suppressAutoHyphens/>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t>2.2. Технического отчета о выполненных работах,</w:t>
            </w:r>
          </w:p>
          <w:p w:rsidR="006A3118" w:rsidRPr="006A3118" w:rsidRDefault="006A3118" w:rsidP="006A3118">
            <w:pPr>
              <w:numPr>
                <w:ilvl w:val="1"/>
                <w:numId w:val="1"/>
              </w:numPr>
              <w:tabs>
                <w:tab w:val="left" w:pos="0"/>
              </w:tabs>
              <w:suppressAutoHyphens/>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t>2.3. Протоколов испытаний и измерений в соответствии с программой технического освидетельствования (экспертизы),</w:t>
            </w:r>
          </w:p>
          <w:p w:rsidR="006A3118" w:rsidRPr="006A3118" w:rsidRDefault="006A3118" w:rsidP="006A3118">
            <w:pPr>
              <w:numPr>
                <w:ilvl w:val="1"/>
                <w:numId w:val="1"/>
              </w:numPr>
              <w:tabs>
                <w:tab w:val="left" w:pos="0"/>
              </w:tabs>
              <w:suppressAutoHyphens/>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t xml:space="preserve">2.4. Заключения о возможности </w:t>
            </w:r>
            <w:proofErr w:type="gramStart"/>
            <w:r w:rsidRPr="006A3118">
              <w:rPr>
                <w:rFonts w:ascii="Times New Roman" w:hAnsi="Times New Roman" w:cs="Times New Roman"/>
                <w:color w:val="000000"/>
              </w:rPr>
              <w:t>и(</w:t>
            </w:r>
            <w:proofErr w:type="gramEnd"/>
            <w:r w:rsidRPr="006A3118">
              <w:rPr>
                <w:rFonts w:ascii="Times New Roman" w:hAnsi="Times New Roman" w:cs="Times New Roman"/>
                <w:color w:val="000000"/>
              </w:rPr>
              <w:t>или) не возможности к дальнейшей эксплуатации помещения здания, а так же локально-сметный расчет на проведение ремонтных по восстановлению целостности несущих конструкций (при наличии необходимости данных работ) , дефектные ведомости.</w:t>
            </w:r>
          </w:p>
          <w:p w:rsidR="006A3118" w:rsidRPr="006A3118" w:rsidRDefault="006A3118" w:rsidP="006A3118">
            <w:pPr>
              <w:pStyle w:val="a7"/>
              <w:spacing w:line="228" w:lineRule="auto"/>
              <w:ind w:right="176" w:firstLine="567"/>
              <w:rPr>
                <w:rFonts w:cs="Times New Roman"/>
                <w:b/>
                <w:color w:val="000000"/>
              </w:rPr>
            </w:pPr>
          </w:p>
          <w:p w:rsidR="006A3118" w:rsidRPr="006A3118" w:rsidRDefault="006A3118" w:rsidP="006A3118">
            <w:pPr>
              <w:pStyle w:val="a7"/>
              <w:spacing w:line="228" w:lineRule="auto"/>
              <w:ind w:right="176" w:firstLine="567"/>
              <w:rPr>
                <w:rFonts w:cs="Times New Roman"/>
                <w:b/>
                <w:color w:val="000000"/>
              </w:rPr>
            </w:pPr>
            <w:r w:rsidRPr="006A3118">
              <w:rPr>
                <w:rFonts w:cs="Times New Roman"/>
                <w:b/>
                <w:color w:val="000000"/>
              </w:rPr>
              <w:t>3. Требования к оказанию услуг:</w:t>
            </w:r>
          </w:p>
          <w:p w:rsidR="006A3118" w:rsidRPr="006A3118" w:rsidRDefault="006A3118" w:rsidP="006A3118">
            <w:pPr>
              <w:tabs>
                <w:tab w:val="left" w:pos="567"/>
              </w:tabs>
              <w:spacing w:after="0" w:line="228" w:lineRule="auto"/>
              <w:ind w:firstLine="567"/>
              <w:rPr>
                <w:rFonts w:ascii="Times New Roman" w:hAnsi="Times New Roman" w:cs="Times New Roman"/>
              </w:rPr>
            </w:pPr>
            <w:r w:rsidRPr="006A3118">
              <w:rPr>
                <w:rFonts w:ascii="Times New Roman" w:hAnsi="Times New Roman" w:cs="Times New Roman"/>
              </w:rPr>
              <w:t>3.1. Исполнитель должен иметь:</w:t>
            </w:r>
          </w:p>
          <w:p w:rsidR="006A3118" w:rsidRPr="006A3118" w:rsidRDefault="006A3118" w:rsidP="006A3118">
            <w:pPr>
              <w:spacing w:after="0" w:line="228" w:lineRule="auto"/>
              <w:ind w:firstLine="567"/>
              <w:rPr>
                <w:rFonts w:ascii="Times New Roman" w:hAnsi="Times New Roman" w:cs="Times New Roman"/>
              </w:rPr>
            </w:pPr>
            <w:r w:rsidRPr="006A3118">
              <w:rPr>
                <w:rFonts w:ascii="Times New Roman" w:hAnsi="Times New Roman" w:cs="Times New Roman"/>
              </w:rPr>
              <w:t xml:space="preserve">3.3. Наличие у работников Исполнителя действующего диплома </w:t>
            </w:r>
            <w:proofErr w:type="gramStart"/>
            <w:r w:rsidRPr="006A3118">
              <w:rPr>
                <w:rFonts w:ascii="Times New Roman" w:hAnsi="Times New Roman" w:cs="Times New Roman"/>
              </w:rPr>
              <w:t>об</w:t>
            </w:r>
            <w:proofErr w:type="gramEnd"/>
            <w:r w:rsidRPr="006A3118">
              <w:rPr>
                <w:rFonts w:ascii="Times New Roman" w:hAnsi="Times New Roman" w:cs="Times New Roman"/>
              </w:rPr>
              <w:t xml:space="preserve"> прохождении обучения на право осуществления данной деятельности.</w:t>
            </w:r>
          </w:p>
          <w:p w:rsidR="006A3118" w:rsidRPr="006A3118" w:rsidRDefault="006A3118" w:rsidP="006A3118">
            <w:pPr>
              <w:snapToGrid w:val="0"/>
              <w:spacing w:after="0" w:line="228" w:lineRule="auto"/>
              <w:ind w:firstLine="567"/>
              <w:rPr>
                <w:rFonts w:ascii="Times New Roman" w:hAnsi="Times New Roman" w:cs="Times New Roman"/>
                <w:color w:val="000000"/>
              </w:rPr>
            </w:pPr>
            <w:r w:rsidRPr="006A3118">
              <w:rPr>
                <w:rFonts w:ascii="Times New Roman" w:hAnsi="Times New Roman" w:cs="Times New Roman"/>
                <w:color w:val="000000"/>
              </w:rPr>
              <w:t>3.4. Исполнитель   оказывает услуги по проведению комплексного обследования (экспертизе) несущих конструкций помещения здания специалистами имеющими опыт проведения данных работ не менее 3 – х лет.</w:t>
            </w:r>
          </w:p>
          <w:p w:rsidR="006A3118" w:rsidRPr="006A3118" w:rsidRDefault="006A3118" w:rsidP="006A3118">
            <w:pPr>
              <w:spacing w:after="0" w:line="228" w:lineRule="auto"/>
              <w:ind w:right="176" w:firstLine="567"/>
              <w:rPr>
                <w:rFonts w:ascii="Times New Roman" w:hAnsi="Times New Roman" w:cs="Times New Roman"/>
                <w:color w:val="000000"/>
              </w:rPr>
            </w:pPr>
            <w:r w:rsidRPr="006A3118">
              <w:rPr>
                <w:rFonts w:ascii="Times New Roman" w:hAnsi="Times New Roman" w:cs="Times New Roman"/>
              </w:rPr>
              <w:t>3.5.</w:t>
            </w:r>
            <w:r w:rsidRPr="006A3118">
              <w:rPr>
                <w:rFonts w:ascii="Times New Roman" w:hAnsi="Times New Roman" w:cs="Times New Roman"/>
                <w:color w:val="000000"/>
              </w:rPr>
              <w:t xml:space="preserve"> Комплексное обследование (экспертиза) несущих конструкций помещения здания проводится в соответствии </w:t>
            </w:r>
            <w:proofErr w:type="gramStart"/>
            <w:r w:rsidRPr="006A3118">
              <w:rPr>
                <w:rFonts w:ascii="Times New Roman" w:hAnsi="Times New Roman" w:cs="Times New Roman"/>
                <w:color w:val="000000"/>
              </w:rPr>
              <w:t>с</w:t>
            </w:r>
            <w:proofErr w:type="gramEnd"/>
            <w:r w:rsidRPr="006A3118">
              <w:rPr>
                <w:rFonts w:ascii="Times New Roman" w:hAnsi="Times New Roman" w:cs="Times New Roman"/>
                <w:color w:val="000000"/>
              </w:rPr>
              <w:t>:</w:t>
            </w:r>
          </w:p>
          <w:p w:rsidR="006A3118" w:rsidRPr="006A3118" w:rsidRDefault="006A3118" w:rsidP="006A3118">
            <w:pPr>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lastRenderedPageBreak/>
              <w:t>- Федеральным законом «О промышленной безопасности опасных производственных объектов» от 21.07.97 № 116-ФЗ;</w:t>
            </w:r>
          </w:p>
          <w:p w:rsidR="006A3118" w:rsidRPr="006A3118" w:rsidRDefault="006A3118" w:rsidP="006A3118">
            <w:pPr>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t xml:space="preserve">- Руководством по эксплуатации строительных конструкций производственных зданий промышленных предприятий (М., </w:t>
            </w:r>
            <w:proofErr w:type="spellStart"/>
            <w:r w:rsidRPr="006A3118">
              <w:rPr>
                <w:rFonts w:ascii="Times New Roman" w:hAnsi="Times New Roman" w:cs="Times New Roman"/>
                <w:color w:val="000000"/>
              </w:rPr>
              <w:t>Стройиздат</w:t>
            </w:r>
            <w:proofErr w:type="spellEnd"/>
            <w:r w:rsidRPr="006A3118">
              <w:rPr>
                <w:rFonts w:ascii="Times New Roman" w:hAnsi="Times New Roman" w:cs="Times New Roman"/>
                <w:color w:val="000000"/>
              </w:rPr>
              <w:t>, 1981г.);</w:t>
            </w:r>
          </w:p>
          <w:p w:rsidR="006A3118" w:rsidRPr="006A3118" w:rsidRDefault="006A3118" w:rsidP="006A3118">
            <w:pPr>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t>- Сводом правил по проектированию и строительству СП 13 -102-2003 (Правила обследования несущих строительных конструкций зданий и сооружений),</w:t>
            </w:r>
          </w:p>
          <w:p w:rsidR="006A3118" w:rsidRPr="006A3118" w:rsidRDefault="006A3118" w:rsidP="006A3118">
            <w:pPr>
              <w:spacing w:after="0" w:line="228" w:lineRule="auto"/>
              <w:ind w:right="176" w:firstLine="567"/>
              <w:rPr>
                <w:rFonts w:ascii="Times New Roman" w:hAnsi="Times New Roman" w:cs="Times New Roman"/>
                <w:color w:val="000000"/>
              </w:rPr>
            </w:pPr>
            <w:r w:rsidRPr="006A3118">
              <w:rPr>
                <w:rFonts w:ascii="Times New Roman" w:hAnsi="Times New Roman" w:cs="Times New Roman"/>
                <w:color w:val="000000"/>
              </w:rPr>
              <w:t xml:space="preserve">- другими действующим нормативным документами, а также требованиями, предъявляемыми </w:t>
            </w:r>
            <w:proofErr w:type="spellStart"/>
            <w:r w:rsidRPr="006A3118">
              <w:rPr>
                <w:rFonts w:ascii="Times New Roman" w:hAnsi="Times New Roman" w:cs="Times New Roman"/>
                <w:color w:val="000000"/>
              </w:rPr>
              <w:t>Ростехнадзором</w:t>
            </w:r>
            <w:proofErr w:type="spellEnd"/>
            <w:r w:rsidRPr="006A3118">
              <w:rPr>
                <w:rFonts w:ascii="Times New Roman" w:hAnsi="Times New Roman" w:cs="Times New Roman"/>
                <w:color w:val="000000"/>
              </w:rPr>
              <w:t>.</w:t>
            </w:r>
          </w:p>
          <w:p w:rsidR="006A3118" w:rsidRPr="006A3118" w:rsidRDefault="006A3118" w:rsidP="006A3118">
            <w:pPr>
              <w:pStyle w:val="10"/>
              <w:spacing w:line="228" w:lineRule="auto"/>
              <w:ind w:left="0" w:right="176" w:firstLine="567"/>
            </w:pPr>
            <w:r w:rsidRPr="006A3118">
              <w:t>3.6. Исполнитель обязан обеспечить оказание услуг специалистами, аттестованными в соответствии с Приказами Федеральной службы по экологическому, технологическому и атомному надзору:</w:t>
            </w:r>
          </w:p>
          <w:p w:rsidR="006A3118" w:rsidRPr="006A3118" w:rsidRDefault="006A3118" w:rsidP="006A3118">
            <w:pPr>
              <w:pStyle w:val="10"/>
              <w:spacing w:line="228" w:lineRule="auto"/>
              <w:ind w:left="0" w:right="425" w:firstLine="567"/>
            </w:pPr>
            <w:r w:rsidRPr="006A3118">
              <w:t>- приказ №37 от 29.01.2007г.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6A3118" w:rsidRPr="006A3118" w:rsidRDefault="006A3118" w:rsidP="006A3118">
            <w:pPr>
              <w:pStyle w:val="10"/>
              <w:spacing w:line="228" w:lineRule="auto"/>
              <w:ind w:left="0" w:right="425" w:firstLine="567"/>
              <w:rPr>
                <w:rFonts w:eastAsia="Arial Unicode MS"/>
              </w:rPr>
            </w:pPr>
            <w:r w:rsidRPr="006A3118">
              <w:rPr>
                <w:rFonts w:eastAsia="Arial Unicode MS"/>
                <w:color w:val="000000"/>
              </w:rPr>
              <w:t xml:space="preserve">3.7. </w:t>
            </w:r>
            <w:proofErr w:type="gramStart"/>
            <w:r w:rsidRPr="006A3118">
              <w:rPr>
                <w:rFonts w:eastAsia="Arial Unicode MS"/>
                <w:color w:val="000000"/>
              </w:rPr>
              <w:t xml:space="preserve">Исполнитель обязан выполнять требования по охране труда и технике безопасности, изложенных в </w:t>
            </w:r>
            <w:r w:rsidRPr="006A3118">
              <w:rPr>
                <w:rFonts w:eastAsia="Arial Unicode MS"/>
              </w:rPr>
              <w:t>действующих нормативных документах.</w:t>
            </w:r>
            <w:proofErr w:type="gramEnd"/>
          </w:p>
          <w:p w:rsidR="006A3118" w:rsidRPr="006A3118" w:rsidRDefault="006A3118" w:rsidP="006A3118">
            <w:pPr>
              <w:pStyle w:val="10"/>
              <w:spacing w:line="228" w:lineRule="auto"/>
              <w:ind w:left="0" w:right="425" w:firstLine="567"/>
              <w:rPr>
                <w:color w:val="000000"/>
              </w:rPr>
            </w:pPr>
            <w:r w:rsidRPr="006A3118">
              <w:t>3.8.</w:t>
            </w:r>
            <w:r w:rsidRPr="006A3118">
              <w:rPr>
                <w:color w:val="000000"/>
              </w:rPr>
              <w:t xml:space="preserve"> </w:t>
            </w:r>
            <w:r w:rsidRPr="006A3118">
              <w:t>Для оказания услуги Исполнитель обязан обеспечить использование высокоточных приборов для проведения обмеров и расчетов, специализированной техники.</w:t>
            </w:r>
          </w:p>
          <w:p w:rsidR="006A3118" w:rsidRPr="006A3118" w:rsidRDefault="006A3118" w:rsidP="006A3118">
            <w:pPr>
              <w:pStyle w:val="10"/>
              <w:spacing w:line="228" w:lineRule="auto"/>
              <w:ind w:left="0" w:right="176" w:firstLine="567"/>
              <w:rPr>
                <w:rFonts w:eastAsia="Arial Unicode MS"/>
                <w:color w:val="000000"/>
              </w:rPr>
            </w:pPr>
            <w:r w:rsidRPr="006A3118">
              <w:rPr>
                <w:rFonts w:eastAsia="Arial Unicode MS"/>
                <w:color w:val="000000"/>
              </w:rPr>
              <w:t>3.9. Заказчик осуществляет контроль качества оказываемых услуг.</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3.10. Подрядная организация должна иметь всё необходимое технологическое оборудование, инструменты, оснастку, инвентарь и материалы, требующиеся для выполнения работ.</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3.11. Пропуск на внос (вынос) материалов, оборудования, инструмента и других материальных ценностей оформляется Заказчиком в обязательном порядке.</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3.12. Разгрузка производится в специально отведённых местах.</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3.14. Завоз оборудования на объект возможен с 9.00 до 18.00.</w:t>
            </w:r>
          </w:p>
          <w:p w:rsidR="006A3118" w:rsidRPr="006A3118" w:rsidRDefault="006A3118" w:rsidP="006A3118">
            <w:pPr>
              <w:pStyle w:val="21"/>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 xml:space="preserve">3.15. Время работы работников </w:t>
            </w:r>
            <w:r w:rsidRPr="006A3118">
              <w:rPr>
                <w:rFonts w:ascii="Times New Roman" w:hAnsi="Times New Roman" w:cs="Times New Roman"/>
                <w:sz w:val="24"/>
              </w:rPr>
              <w:t>Исполнителя</w:t>
            </w:r>
            <w:r w:rsidRPr="006A3118">
              <w:rPr>
                <w:rFonts w:ascii="Times New Roman" w:hAnsi="Times New Roman" w:cs="Times New Roman"/>
                <w:sz w:val="28"/>
                <w:szCs w:val="24"/>
              </w:rPr>
              <w:t xml:space="preserve"> </w:t>
            </w:r>
            <w:r w:rsidRPr="006A3118">
              <w:rPr>
                <w:rFonts w:ascii="Times New Roman" w:hAnsi="Times New Roman" w:cs="Times New Roman"/>
                <w:sz w:val="24"/>
                <w:szCs w:val="24"/>
              </w:rPr>
              <w:t>устанавливается с 9.00 до 18.00.</w:t>
            </w:r>
          </w:p>
          <w:p w:rsidR="006A3118" w:rsidRPr="006A3118" w:rsidRDefault="006A3118" w:rsidP="006A3118">
            <w:pPr>
              <w:spacing w:after="0" w:line="228" w:lineRule="auto"/>
              <w:ind w:firstLine="567"/>
              <w:rPr>
                <w:rFonts w:ascii="Times New Roman" w:hAnsi="Times New Roman" w:cs="Times New Roman"/>
                <w:iCs/>
              </w:rPr>
            </w:pPr>
            <w:r w:rsidRPr="006A3118">
              <w:rPr>
                <w:rFonts w:ascii="Times New Roman" w:hAnsi="Times New Roman" w:cs="Times New Roman"/>
              </w:rPr>
              <w:t xml:space="preserve">3.16. </w:t>
            </w:r>
            <w:proofErr w:type="gramStart"/>
            <w:r w:rsidRPr="006A3118">
              <w:rPr>
                <w:rFonts w:ascii="Times New Roman" w:hAnsi="Times New Roman" w:cs="Times New Roman"/>
              </w:rPr>
              <w:t>Учитывая режимный характер объекта, Исполнителю после подписания контракта, необходимо до начала выполнения работ представить Заказчику, для оформления допусков, список персонала, имеющий разрешение на трудовую деятельность на территории Российской Федерации (граждане России) цветные сканированные копии документа удостоверяющего личность (паспорт РФ), который будет задействован на объекте, а также цветные сканированные копии свидетельств о регистрации транспортных средств, подвозящих материалы, оборудование и другие грузы</w:t>
            </w:r>
            <w:proofErr w:type="gramEnd"/>
            <w:r w:rsidRPr="006A3118">
              <w:rPr>
                <w:rFonts w:ascii="Times New Roman" w:hAnsi="Times New Roman" w:cs="Times New Roman"/>
              </w:rPr>
              <w:t xml:space="preserve"> для выполнения условий контракта с последующим выездом с территории объекта после разгрузки материалов, для согласования с отделом ФСБ воинской части установленной формы. Все сканированные копии документов </w:t>
            </w:r>
            <w:proofErr w:type="gramStart"/>
            <w:r w:rsidRPr="006A3118">
              <w:rPr>
                <w:rFonts w:ascii="Times New Roman" w:hAnsi="Times New Roman" w:cs="Times New Roman"/>
              </w:rPr>
              <w:t>должны бать заверены</w:t>
            </w:r>
            <w:proofErr w:type="gramEnd"/>
            <w:r w:rsidRPr="006A3118">
              <w:rPr>
                <w:rFonts w:ascii="Times New Roman" w:hAnsi="Times New Roman" w:cs="Times New Roman"/>
              </w:rPr>
              <w:t xml:space="preserve"> печатью Исполнителя. Время согласования указанных списков </w:t>
            </w:r>
            <w:r w:rsidRPr="006A3118">
              <w:rPr>
                <w:rFonts w:ascii="Times New Roman" w:hAnsi="Times New Roman" w:cs="Times New Roman"/>
                <w:b/>
                <w:u w:val="single"/>
              </w:rPr>
              <w:t>25</w:t>
            </w:r>
            <w:r w:rsidRPr="006A3118">
              <w:rPr>
                <w:rFonts w:ascii="Times New Roman" w:hAnsi="Times New Roman" w:cs="Times New Roman"/>
                <w:b/>
                <w:i/>
                <w:iCs/>
                <w:u w:val="single"/>
              </w:rPr>
              <w:t xml:space="preserve">-30 дней с момента представления данных. </w:t>
            </w:r>
            <w:r w:rsidRPr="006A3118">
              <w:rPr>
                <w:rFonts w:ascii="Times New Roman" w:hAnsi="Times New Roman" w:cs="Times New Roman"/>
              </w:rPr>
              <w:t>В случае замены, исключения или добавления какого-либо сотрудника немедленно сообщить об этом Заказчику.</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3.17. Проживание сотрудников Исполнителя на территории Заказчика категорически запрещено, общежитие Заказчиком не предоставляется.</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3.18. При проведении работ Исполнитель должен подчиняться правилам внутреннего распорядка Заказчика.</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 xml:space="preserve">3.19. При проведении работ </w:t>
            </w:r>
            <w:r w:rsidRPr="006A3118">
              <w:rPr>
                <w:rFonts w:ascii="Times New Roman" w:hAnsi="Times New Roman" w:cs="Times New Roman"/>
                <w:b/>
                <w:sz w:val="24"/>
                <w:szCs w:val="24"/>
              </w:rPr>
              <w:t>НЕ ДОПУСКАЕТСЯ</w:t>
            </w:r>
            <w:r w:rsidRPr="006A3118">
              <w:rPr>
                <w:rFonts w:ascii="Times New Roman" w:hAnsi="Times New Roman" w:cs="Times New Roman"/>
                <w:sz w:val="24"/>
                <w:szCs w:val="24"/>
              </w:rPr>
              <w:t>:</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применение оборудования и инструментов, вызывающих превышение нормативно допустимого шума и вибрации;</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Во время производства работ должен быть обеспечен беспрепятственный доступ представителей Заказчика на место выполнения работ. На весь период производства ремонтных работ прилегающая территория и места работ Исполнителем должны поддерживаться в чистоте за собственный счёт.</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Исполнитель обязан:</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Выполнить подготовительные работы.</w:t>
            </w:r>
          </w:p>
          <w:p w:rsidR="006A3118" w:rsidRPr="006A3118" w:rsidRDefault="006A3118" w:rsidP="006A3118">
            <w:pPr>
              <w:pStyle w:val="1"/>
              <w:widowControl w:val="0"/>
              <w:autoSpaceDE w:val="0"/>
              <w:autoSpaceDN w:val="0"/>
              <w:adjustRightInd w:val="0"/>
              <w:spacing w:line="228" w:lineRule="auto"/>
              <w:ind w:firstLine="567"/>
              <w:rPr>
                <w:rFonts w:ascii="Times New Roman" w:hAnsi="Times New Roman" w:cs="Times New Roman"/>
                <w:sz w:val="24"/>
                <w:szCs w:val="24"/>
              </w:rPr>
            </w:pPr>
            <w:r w:rsidRPr="006A3118">
              <w:rPr>
                <w:rFonts w:ascii="Times New Roman" w:hAnsi="Times New Roman" w:cs="Times New Roman"/>
                <w:sz w:val="24"/>
                <w:szCs w:val="24"/>
              </w:rPr>
              <w:t>Представить цветные сканированные копии заверенные печатью Исполнителя документов подтверждающих трудовые отношения работников с Исполнителем (</w:t>
            </w:r>
            <w:r w:rsidRPr="006A3118">
              <w:rPr>
                <w:rFonts w:ascii="Times New Roman" w:hAnsi="Times New Roman" w:cs="Times New Roman"/>
                <w:b/>
                <w:sz w:val="24"/>
                <w:szCs w:val="24"/>
              </w:rPr>
              <w:t>трудовой договор, приказ о назначении на должность</w:t>
            </w:r>
            <w:r w:rsidRPr="006A3118">
              <w:rPr>
                <w:rFonts w:ascii="Times New Roman" w:hAnsi="Times New Roman" w:cs="Times New Roman"/>
                <w:sz w:val="24"/>
                <w:szCs w:val="24"/>
              </w:rPr>
              <w:t>).</w:t>
            </w:r>
          </w:p>
          <w:p w:rsidR="006A3118" w:rsidRPr="006A3118" w:rsidRDefault="006A3118" w:rsidP="006A3118">
            <w:pPr>
              <w:spacing w:after="0" w:line="228" w:lineRule="auto"/>
              <w:ind w:firstLine="567"/>
              <w:rPr>
                <w:rFonts w:ascii="Times New Roman" w:hAnsi="Times New Roman" w:cs="Times New Roman"/>
              </w:rPr>
            </w:pPr>
            <w:r w:rsidRPr="006A3118">
              <w:rPr>
                <w:rFonts w:ascii="Times New Roman" w:hAnsi="Times New Roman" w:cs="Times New Roman"/>
              </w:rPr>
              <w:lastRenderedPageBreak/>
              <w:t>Устранить своими силами и за свой счет ущерб, причиненный имуществу Заказчика во время проведения ремонтных работ, по вине Исполнителя.</w:t>
            </w:r>
          </w:p>
          <w:p w:rsidR="006A3118" w:rsidRPr="006A3118" w:rsidRDefault="006A3118" w:rsidP="006A3118">
            <w:pPr>
              <w:spacing w:after="0" w:line="228" w:lineRule="auto"/>
              <w:ind w:firstLine="567"/>
              <w:rPr>
                <w:rFonts w:ascii="Times New Roman" w:hAnsi="Times New Roman" w:cs="Times New Roman"/>
              </w:rPr>
            </w:pPr>
            <w:r w:rsidRPr="006A3118">
              <w:rPr>
                <w:rFonts w:ascii="Times New Roman" w:hAnsi="Times New Roman" w:cs="Times New Roman"/>
                <w:b/>
              </w:rPr>
              <w:t>Срок выполнения работ</w:t>
            </w:r>
            <w:r w:rsidRPr="006A3118">
              <w:rPr>
                <w:rFonts w:ascii="Times New Roman" w:hAnsi="Times New Roman" w:cs="Times New Roman"/>
              </w:rPr>
              <w:t xml:space="preserve"> по государственному контракту – с момента подписания Государственного контракта и передачи объекта Исполнителю по Акту (Приложение № 2 к Государственному контракту), а окончание – не позднее « 31 » </w:t>
            </w:r>
            <w:r w:rsidR="00E527B7">
              <w:rPr>
                <w:rFonts w:ascii="Times New Roman" w:hAnsi="Times New Roman" w:cs="Times New Roman"/>
              </w:rPr>
              <w:t>мая</w:t>
            </w:r>
            <w:r w:rsidRPr="006A3118">
              <w:rPr>
                <w:rFonts w:ascii="Times New Roman" w:hAnsi="Times New Roman" w:cs="Times New Roman"/>
              </w:rPr>
              <w:t xml:space="preserve"> 20</w:t>
            </w:r>
            <w:r w:rsidR="00E527B7">
              <w:rPr>
                <w:rFonts w:ascii="Times New Roman" w:hAnsi="Times New Roman" w:cs="Times New Roman"/>
              </w:rPr>
              <w:t>20</w:t>
            </w:r>
            <w:r w:rsidRPr="006A3118">
              <w:rPr>
                <w:rFonts w:ascii="Times New Roman" w:hAnsi="Times New Roman" w:cs="Times New Roman"/>
              </w:rPr>
              <w:t xml:space="preserve"> года.</w:t>
            </w:r>
          </w:p>
          <w:p w:rsidR="006A3118" w:rsidRPr="006A3118" w:rsidRDefault="006A3118" w:rsidP="006A3118">
            <w:pPr>
              <w:numPr>
                <w:ilvl w:val="1"/>
                <w:numId w:val="1"/>
              </w:numPr>
              <w:tabs>
                <w:tab w:val="left" w:pos="0"/>
              </w:tabs>
              <w:suppressAutoHyphens/>
              <w:spacing w:after="0" w:line="228" w:lineRule="auto"/>
              <w:ind w:right="567" w:firstLine="567"/>
              <w:rPr>
                <w:rFonts w:ascii="Times New Roman" w:hAnsi="Times New Roman" w:cs="Times New Roman"/>
                <w:color w:val="000000"/>
              </w:rPr>
            </w:pPr>
            <w:r w:rsidRPr="006A3118">
              <w:rPr>
                <w:rFonts w:ascii="Times New Roman" w:hAnsi="Times New Roman" w:cs="Times New Roman"/>
                <w:b/>
                <w:color w:val="000000"/>
              </w:rPr>
              <w:t>4. Приемка оказанных услуг</w:t>
            </w:r>
            <w:r w:rsidRPr="006A3118">
              <w:rPr>
                <w:rFonts w:ascii="Times New Roman" w:hAnsi="Times New Roman" w:cs="Times New Roman"/>
                <w:color w:val="000000"/>
              </w:rPr>
              <w:t xml:space="preserve"> производится с участием уполномоченных представителей Исполнителя и Заказчика и, после передачи Исполнителем Заказчику заключений о техническом состоянии оборудования, технических отчетов, протоколов испытаний и измерений в соответствии с программой проведения технического освидетельствования, актов периодического технического освидетельствования установленного образца, оформляется Актом сдачи-приемки услуг.</w:t>
            </w:r>
          </w:p>
          <w:p w:rsidR="006A3118" w:rsidRPr="006A3118" w:rsidRDefault="006A3118" w:rsidP="006A3118">
            <w:pPr>
              <w:spacing w:after="0" w:line="228" w:lineRule="auto"/>
              <w:ind w:right="425" w:firstLine="567"/>
              <w:rPr>
                <w:rFonts w:ascii="Times New Roman" w:hAnsi="Times New Roman" w:cs="Times New Roman"/>
                <w:color w:val="000000"/>
              </w:rPr>
            </w:pPr>
            <w:r w:rsidRPr="006A3118">
              <w:rPr>
                <w:rFonts w:ascii="Times New Roman" w:hAnsi="Times New Roman" w:cs="Times New Roman"/>
                <w:b/>
                <w:color w:val="000000"/>
              </w:rPr>
              <w:t>5. Срок гарантии</w:t>
            </w:r>
            <w:r w:rsidRPr="006A3118">
              <w:rPr>
                <w:rFonts w:ascii="Times New Roman" w:hAnsi="Times New Roman" w:cs="Times New Roman"/>
                <w:color w:val="000000"/>
              </w:rPr>
              <w:t xml:space="preserve"> – 1 год с момента подписания Акта сдачи-приемки оказанных услуг. В период гарантийного срока Исполнитель безвозмездно исправляет ошибки или неточности, выявленные Заказчиком.</w:t>
            </w: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ind w:left="360"/>
              <w:rPr>
                <w:rFonts w:ascii="Times New Roman" w:hAnsi="Times New Roman" w:cs="Times New Roman"/>
              </w:rPr>
            </w:pPr>
          </w:p>
          <w:p w:rsidR="006A3118" w:rsidRPr="006A3118" w:rsidRDefault="006A3118" w:rsidP="006A3118">
            <w:pPr>
              <w:spacing w:after="0" w:line="228" w:lineRule="auto"/>
              <w:rPr>
                <w:rFonts w:ascii="Times New Roman" w:hAnsi="Times New Roman" w:cs="Times New Roman"/>
              </w:rPr>
            </w:pPr>
          </w:p>
        </w:tc>
      </w:tr>
    </w:tbl>
    <w:p w:rsidR="006A3118" w:rsidRPr="006A3118" w:rsidRDefault="006A3118" w:rsidP="006A3118">
      <w:pPr>
        <w:widowControl w:val="0"/>
        <w:autoSpaceDE w:val="0"/>
        <w:autoSpaceDN w:val="0"/>
        <w:adjustRightInd w:val="0"/>
        <w:spacing w:after="0" w:line="228" w:lineRule="auto"/>
        <w:rPr>
          <w:rFonts w:ascii="Times New Roman" w:hAnsi="Times New Roman" w:cs="Times New Roman"/>
          <w:caps/>
          <w:sz w:val="28"/>
          <w:szCs w:val="28"/>
        </w:rPr>
      </w:pPr>
    </w:p>
    <w:p w:rsidR="006A3118" w:rsidRPr="006A3118" w:rsidRDefault="006A3118" w:rsidP="00C921E7">
      <w:pPr>
        <w:widowControl w:val="0"/>
        <w:autoSpaceDE w:val="0"/>
        <w:autoSpaceDN w:val="0"/>
        <w:adjustRightInd w:val="0"/>
        <w:spacing w:after="0" w:line="228" w:lineRule="auto"/>
        <w:rPr>
          <w:rFonts w:ascii="Times New Roman" w:hAnsi="Times New Roman" w:cs="Times New Roman"/>
          <w:sz w:val="28"/>
          <w:szCs w:val="28"/>
        </w:rPr>
      </w:pPr>
    </w:p>
    <w:sectPr w:rsidR="006A3118" w:rsidRPr="006A3118" w:rsidSect="00F105E9">
      <w:headerReference w:type="default" r:id="rId7"/>
      <w:pgSz w:w="11906" w:h="16838"/>
      <w:pgMar w:top="1134" w:right="707" w:bottom="1134" w:left="99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3C" w:rsidRDefault="0067483C" w:rsidP="008D1FF4">
      <w:pPr>
        <w:spacing w:after="0" w:line="240" w:lineRule="auto"/>
      </w:pPr>
      <w:r>
        <w:separator/>
      </w:r>
    </w:p>
  </w:endnote>
  <w:endnote w:type="continuationSeparator" w:id="0">
    <w:p w:rsidR="0067483C" w:rsidRDefault="0067483C" w:rsidP="008D1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3C" w:rsidRDefault="0067483C" w:rsidP="008D1FF4">
      <w:pPr>
        <w:spacing w:after="0" w:line="240" w:lineRule="auto"/>
      </w:pPr>
      <w:r>
        <w:separator/>
      </w:r>
    </w:p>
  </w:footnote>
  <w:footnote w:type="continuationSeparator" w:id="0">
    <w:p w:rsidR="0067483C" w:rsidRDefault="0067483C" w:rsidP="008D1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81627"/>
      <w:docPartObj>
        <w:docPartGallery w:val="Page Numbers (Top of Page)"/>
        <w:docPartUnique/>
      </w:docPartObj>
    </w:sdtPr>
    <w:sdtContent>
      <w:p w:rsidR="000653BC" w:rsidRDefault="002B3103">
        <w:pPr>
          <w:pStyle w:val="a3"/>
          <w:jc w:val="center"/>
        </w:pPr>
        <w:r>
          <w:rPr>
            <w:noProof/>
          </w:rPr>
          <w:fldChar w:fldCharType="begin"/>
        </w:r>
        <w:r w:rsidR="00AA2C3D">
          <w:rPr>
            <w:noProof/>
          </w:rPr>
          <w:instrText>PAGE   \* MERGEFORMAT</w:instrText>
        </w:r>
        <w:r>
          <w:rPr>
            <w:noProof/>
          </w:rPr>
          <w:fldChar w:fldCharType="separate"/>
        </w:r>
        <w:r w:rsidR="00E527B7">
          <w:rPr>
            <w:noProof/>
          </w:rPr>
          <w:t>2</w:t>
        </w:r>
        <w:r>
          <w:rPr>
            <w:noProof/>
          </w:rPr>
          <w:fldChar w:fldCharType="end"/>
        </w:r>
      </w:p>
    </w:sdtContent>
  </w:sdt>
  <w:p w:rsidR="000653BC" w:rsidRDefault="00674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000"/>
        </w:tabs>
        <w:ind w:left="30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6B055EE7"/>
    <w:multiLevelType w:val="multilevel"/>
    <w:tmpl w:val="78EC50E2"/>
    <w:lvl w:ilvl="0">
      <w:start w:val="1"/>
      <w:numFmt w:val="decimal"/>
      <w:lvlText w:val="%1."/>
      <w:lvlJc w:val="left"/>
      <w:pPr>
        <w:ind w:left="720" w:hanging="360"/>
      </w:pPr>
      <w:rPr>
        <w:rFonts w:cs="Times New Roman"/>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A3118"/>
    <w:rsid w:val="00073B2D"/>
    <w:rsid w:val="002B3103"/>
    <w:rsid w:val="004E4F35"/>
    <w:rsid w:val="005D648D"/>
    <w:rsid w:val="0067483C"/>
    <w:rsid w:val="006A3118"/>
    <w:rsid w:val="007B4133"/>
    <w:rsid w:val="008D1FF4"/>
    <w:rsid w:val="009F59EA"/>
    <w:rsid w:val="00AA1503"/>
    <w:rsid w:val="00AA2C3D"/>
    <w:rsid w:val="00C921E7"/>
    <w:rsid w:val="00DA1B71"/>
    <w:rsid w:val="00DA5FBD"/>
    <w:rsid w:val="00DD5E79"/>
    <w:rsid w:val="00E2621E"/>
    <w:rsid w:val="00E527B7"/>
    <w:rsid w:val="00FB7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A31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rsid w:val="006A3118"/>
    <w:pPr>
      <w:suppressAutoHyphens/>
      <w:spacing w:after="0" w:line="240" w:lineRule="auto"/>
    </w:pPr>
    <w:rPr>
      <w:rFonts w:ascii="Calibri" w:eastAsia="Times New Roman" w:hAnsi="Calibri" w:cs="Calibri"/>
      <w:lang w:eastAsia="ar-SA"/>
    </w:rPr>
  </w:style>
  <w:style w:type="paragraph" w:styleId="a3">
    <w:name w:val="header"/>
    <w:basedOn w:val="a"/>
    <w:link w:val="a4"/>
    <w:uiPriority w:val="99"/>
    <w:unhideWhenUsed/>
    <w:rsid w:val="006A31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A3118"/>
    <w:rPr>
      <w:rFonts w:ascii="Times New Roman" w:eastAsia="Times New Roman" w:hAnsi="Times New Roman" w:cs="Times New Roman"/>
      <w:sz w:val="24"/>
      <w:szCs w:val="24"/>
    </w:rPr>
  </w:style>
  <w:style w:type="paragraph" w:customStyle="1" w:styleId="a5">
    <w:name w:val="Таблицы (моноширинный)"/>
    <w:basedOn w:val="a"/>
    <w:next w:val="a"/>
    <w:rsid w:val="006A3118"/>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ConsPlusNormal0">
    <w:name w:val="ConsPlusNormal Знак"/>
    <w:link w:val="ConsPlusNormal"/>
    <w:locked/>
    <w:rsid w:val="006A3118"/>
    <w:rPr>
      <w:rFonts w:ascii="Arial" w:eastAsia="Times New Roman" w:hAnsi="Arial" w:cs="Arial"/>
      <w:sz w:val="20"/>
      <w:szCs w:val="20"/>
    </w:rPr>
  </w:style>
  <w:style w:type="paragraph" w:styleId="2">
    <w:name w:val="Body Text Indent 2"/>
    <w:basedOn w:val="a"/>
    <w:link w:val="20"/>
    <w:unhideWhenUsed/>
    <w:rsid w:val="006A311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A3118"/>
    <w:rPr>
      <w:rFonts w:ascii="Times New Roman" w:eastAsia="Times New Roman" w:hAnsi="Times New Roman" w:cs="Times New Roman"/>
      <w:sz w:val="24"/>
      <w:szCs w:val="24"/>
    </w:rPr>
  </w:style>
  <w:style w:type="paragraph" w:customStyle="1" w:styleId="a6">
    <w:name w:val="раздел"/>
    <w:basedOn w:val="a"/>
    <w:uiPriority w:val="99"/>
    <w:rsid w:val="006A3118"/>
    <w:pPr>
      <w:spacing w:after="0" w:line="240" w:lineRule="auto"/>
      <w:jc w:val="center"/>
    </w:pPr>
    <w:rPr>
      <w:rFonts w:ascii="Times New Roman" w:eastAsia="Times New Roman" w:hAnsi="Times New Roman" w:cs="Times New Roman"/>
      <w:b/>
      <w:sz w:val="24"/>
      <w:szCs w:val="20"/>
    </w:rPr>
  </w:style>
  <w:style w:type="paragraph" w:customStyle="1" w:styleId="a7">
    <w:name w:val="Содержимое таблицы"/>
    <w:basedOn w:val="a"/>
    <w:rsid w:val="006A3118"/>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10">
    <w:name w:val="Цитата1"/>
    <w:basedOn w:val="a"/>
    <w:rsid w:val="006A3118"/>
    <w:pPr>
      <w:widowControl w:val="0"/>
      <w:suppressAutoHyphens/>
      <w:spacing w:after="0" w:line="360" w:lineRule="auto"/>
      <w:ind w:left="709" w:right="-179"/>
    </w:pPr>
    <w:rPr>
      <w:rFonts w:ascii="Times New Roman" w:eastAsia="Lucida Sans Unicode" w:hAnsi="Times New Roman" w:cs="Times New Roman"/>
      <w:kern w:val="1"/>
      <w:sz w:val="24"/>
      <w:szCs w:val="24"/>
      <w:lang w:eastAsia="hi-IN" w:bidi="hi-IN"/>
    </w:rPr>
  </w:style>
  <w:style w:type="paragraph" w:customStyle="1" w:styleId="21">
    <w:name w:val="Текст2"/>
    <w:basedOn w:val="a"/>
    <w:rsid w:val="006A3118"/>
    <w:pPr>
      <w:suppressAutoHyphens/>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Тарасенков</dc:creator>
  <cp:lastModifiedBy>Пользователь Windows</cp:lastModifiedBy>
  <cp:revision>3</cp:revision>
  <dcterms:created xsi:type="dcterms:W3CDTF">2019-10-07T08:06:00Z</dcterms:created>
  <dcterms:modified xsi:type="dcterms:W3CDTF">2020-03-26T03:51:00Z</dcterms:modified>
</cp:coreProperties>
</file>