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394" w:rsidRPr="006F1394" w:rsidRDefault="006F1394" w:rsidP="006F1394">
      <w:r w:rsidRPr="006F1394">
        <w:t xml:space="preserve">Приложение №2 </w:t>
      </w:r>
    </w:p>
    <w:p w:rsidR="006F1394" w:rsidRPr="006F1394" w:rsidRDefault="006F1394" w:rsidP="006F1394">
      <w:r w:rsidRPr="006F1394">
        <w:t>к документации об аукционе</w:t>
      </w:r>
    </w:p>
    <w:p w:rsidR="006F1394" w:rsidRPr="006F1394" w:rsidRDefault="006F1394" w:rsidP="006F1394">
      <w:pPr>
        <w:rPr>
          <w:b/>
        </w:rPr>
      </w:pPr>
    </w:p>
    <w:p w:rsidR="006F1394" w:rsidRPr="006F1394" w:rsidRDefault="006F1394" w:rsidP="006F1394">
      <w:pPr>
        <w:rPr>
          <w:b/>
        </w:rPr>
      </w:pPr>
      <w:r w:rsidRPr="006F1394">
        <w:rPr>
          <w:b/>
        </w:rPr>
        <w:t xml:space="preserve">Техническое задание </w:t>
      </w:r>
    </w:p>
    <w:p w:rsidR="006F1394" w:rsidRPr="006F1394" w:rsidRDefault="006F1394" w:rsidP="006F1394">
      <w:pPr>
        <w:rPr>
          <w:b/>
          <w:bCs/>
        </w:rPr>
      </w:pPr>
      <w:r w:rsidRPr="006F1394">
        <w:rPr>
          <w:b/>
        </w:rPr>
        <w:t xml:space="preserve"> на выполнение работ по разработке проектно-сметной документации на строительство канализационной сети по адресу: г. </w:t>
      </w:r>
      <w:proofErr w:type="spellStart"/>
      <w:r w:rsidRPr="006F1394">
        <w:rPr>
          <w:b/>
        </w:rPr>
        <w:t>Касимов</w:t>
      </w:r>
      <w:proofErr w:type="spellEnd"/>
      <w:r w:rsidRPr="006F1394">
        <w:rPr>
          <w:b/>
        </w:rPr>
        <w:t>, ул. Губарева, д. 9.</w:t>
      </w:r>
    </w:p>
    <w:p w:rsidR="006F1394" w:rsidRPr="006F1394" w:rsidRDefault="006F1394" w:rsidP="006F1394">
      <w:pPr>
        <w:rPr>
          <w:b/>
        </w:rPr>
      </w:pPr>
    </w:p>
    <w:p w:rsidR="006F1394" w:rsidRPr="006F1394" w:rsidRDefault="006F1394" w:rsidP="006F1394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338"/>
        <w:gridCol w:w="5360"/>
      </w:tblGrid>
      <w:tr w:rsidR="006F1394" w:rsidRPr="006F1394" w:rsidTr="00480A89">
        <w:trPr>
          <w:trHeight w:val="139"/>
        </w:trPr>
        <w:tc>
          <w:tcPr>
            <w:tcW w:w="656" w:type="dxa"/>
          </w:tcPr>
          <w:p w:rsidR="006F1394" w:rsidRPr="006F1394" w:rsidRDefault="006F1394" w:rsidP="006F1394">
            <w:r w:rsidRPr="006F1394">
              <w:t>1.</w:t>
            </w:r>
          </w:p>
        </w:tc>
        <w:tc>
          <w:tcPr>
            <w:tcW w:w="3419" w:type="dxa"/>
          </w:tcPr>
          <w:p w:rsidR="006F1394" w:rsidRPr="006F1394" w:rsidRDefault="006F1394" w:rsidP="006F1394">
            <w:r w:rsidRPr="006F1394">
              <w:t>Наименование и адрес объекта</w:t>
            </w:r>
          </w:p>
        </w:tc>
        <w:tc>
          <w:tcPr>
            <w:tcW w:w="5547" w:type="dxa"/>
          </w:tcPr>
          <w:p w:rsidR="006F1394" w:rsidRPr="006F1394" w:rsidRDefault="006F1394" w:rsidP="006F1394">
            <w:pPr>
              <w:rPr>
                <w:bCs/>
              </w:rPr>
            </w:pPr>
            <w:r w:rsidRPr="006F1394">
              <w:t xml:space="preserve">Выполнение работ по разработке проектно-сметной документации на строительство канализационной сети по адресу: г. </w:t>
            </w:r>
            <w:proofErr w:type="spellStart"/>
            <w:r w:rsidRPr="006F1394">
              <w:t>Касимов</w:t>
            </w:r>
            <w:proofErr w:type="spellEnd"/>
            <w:r w:rsidRPr="006F1394">
              <w:t>, ул. Губарева, д. 9.</w:t>
            </w:r>
          </w:p>
          <w:p w:rsidR="006F1394" w:rsidRPr="006F1394" w:rsidRDefault="006F1394" w:rsidP="006F1394">
            <w:pPr>
              <w:rPr>
                <w:bCs/>
              </w:rPr>
            </w:pPr>
          </w:p>
        </w:tc>
      </w:tr>
      <w:tr w:rsidR="006F1394" w:rsidRPr="006F1394" w:rsidTr="00480A89">
        <w:trPr>
          <w:trHeight w:val="139"/>
        </w:trPr>
        <w:tc>
          <w:tcPr>
            <w:tcW w:w="656" w:type="dxa"/>
          </w:tcPr>
          <w:p w:rsidR="006F1394" w:rsidRPr="006F1394" w:rsidRDefault="006F1394" w:rsidP="006F1394"/>
        </w:tc>
        <w:tc>
          <w:tcPr>
            <w:tcW w:w="3419" w:type="dxa"/>
          </w:tcPr>
          <w:p w:rsidR="006F1394" w:rsidRPr="006F1394" w:rsidRDefault="006F1394" w:rsidP="006F1394"/>
        </w:tc>
        <w:tc>
          <w:tcPr>
            <w:tcW w:w="5547" w:type="dxa"/>
          </w:tcPr>
          <w:p w:rsidR="006F1394" w:rsidRPr="006F1394" w:rsidRDefault="006F1394" w:rsidP="006F1394"/>
        </w:tc>
      </w:tr>
      <w:tr w:rsidR="006F1394" w:rsidRPr="006F1394" w:rsidTr="00480A89">
        <w:trPr>
          <w:trHeight w:val="139"/>
        </w:trPr>
        <w:tc>
          <w:tcPr>
            <w:tcW w:w="656" w:type="dxa"/>
          </w:tcPr>
          <w:p w:rsidR="006F1394" w:rsidRPr="006F1394" w:rsidRDefault="006F1394" w:rsidP="006F1394"/>
        </w:tc>
        <w:tc>
          <w:tcPr>
            <w:tcW w:w="3419" w:type="dxa"/>
          </w:tcPr>
          <w:p w:rsidR="006F1394" w:rsidRPr="006F1394" w:rsidRDefault="006F1394" w:rsidP="006F1394"/>
        </w:tc>
        <w:tc>
          <w:tcPr>
            <w:tcW w:w="5547" w:type="dxa"/>
          </w:tcPr>
          <w:p w:rsidR="006F1394" w:rsidRPr="006F1394" w:rsidRDefault="006F1394" w:rsidP="006F1394"/>
        </w:tc>
      </w:tr>
      <w:tr w:rsidR="006F1394" w:rsidRPr="006F1394" w:rsidTr="00480A89">
        <w:trPr>
          <w:trHeight w:val="139"/>
        </w:trPr>
        <w:tc>
          <w:tcPr>
            <w:tcW w:w="656" w:type="dxa"/>
          </w:tcPr>
          <w:p w:rsidR="006F1394" w:rsidRPr="006F1394" w:rsidRDefault="006F1394" w:rsidP="006F1394">
            <w:r w:rsidRPr="006F1394">
              <w:t>4.</w:t>
            </w:r>
          </w:p>
        </w:tc>
        <w:tc>
          <w:tcPr>
            <w:tcW w:w="3419" w:type="dxa"/>
          </w:tcPr>
          <w:p w:rsidR="006F1394" w:rsidRPr="006F1394" w:rsidRDefault="006F1394" w:rsidP="006F1394">
            <w:r w:rsidRPr="006F1394">
              <w:t>Вид строительства</w:t>
            </w:r>
          </w:p>
        </w:tc>
        <w:tc>
          <w:tcPr>
            <w:tcW w:w="5547" w:type="dxa"/>
          </w:tcPr>
          <w:p w:rsidR="006F1394" w:rsidRPr="006F1394" w:rsidRDefault="006F1394" w:rsidP="006F1394">
            <w:r w:rsidRPr="006F1394">
              <w:t>Новое строительство</w:t>
            </w:r>
          </w:p>
        </w:tc>
      </w:tr>
      <w:tr w:rsidR="006F1394" w:rsidRPr="006F1394" w:rsidTr="00480A89">
        <w:trPr>
          <w:trHeight w:val="139"/>
        </w:trPr>
        <w:tc>
          <w:tcPr>
            <w:tcW w:w="656" w:type="dxa"/>
          </w:tcPr>
          <w:p w:rsidR="006F1394" w:rsidRPr="006F1394" w:rsidRDefault="006F1394" w:rsidP="006F1394">
            <w:r w:rsidRPr="006F1394">
              <w:t>5.</w:t>
            </w:r>
          </w:p>
        </w:tc>
        <w:tc>
          <w:tcPr>
            <w:tcW w:w="3419" w:type="dxa"/>
          </w:tcPr>
          <w:p w:rsidR="006F1394" w:rsidRPr="006F1394" w:rsidRDefault="006F1394" w:rsidP="006F1394">
            <w:r w:rsidRPr="006F1394">
              <w:t>Стадийность проектирования</w:t>
            </w:r>
          </w:p>
        </w:tc>
        <w:tc>
          <w:tcPr>
            <w:tcW w:w="5547" w:type="dxa"/>
          </w:tcPr>
          <w:p w:rsidR="006F1394" w:rsidRPr="006F1394" w:rsidRDefault="006F1394" w:rsidP="006F1394">
            <w:r w:rsidRPr="006F1394">
              <w:t>Проектная документация</w:t>
            </w:r>
          </w:p>
          <w:p w:rsidR="006F1394" w:rsidRPr="006F1394" w:rsidRDefault="006F1394" w:rsidP="006F1394">
            <w:r w:rsidRPr="006F1394">
              <w:t xml:space="preserve">Рабочая документация </w:t>
            </w:r>
          </w:p>
        </w:tc>
      </w:tr>
      <w:tr w:rsidR="006F1394" w:rsidRPr="006F1394" w:rsidTr="00480A89">
        <w:trPr>
          <w:trHeight w:val="139"/>
        </w:trPr>
        <w:tc>
          <w:tcPr>
            <w:tcW w:w="656" w:type="dxa"/>
          </w:tcPr>
          <w:p w:rsidR="006F1394" w:rsidRPr="006F1394" w:rsidRDefault="006F1394" w:rsidP="006F1394">
            <w:r w:rsidRPr="006F1394">
              <w:t>6.</w:t>
            </w:r>
          </w:p>
        </w:tc>
        <w:tc>
          <w:tcPr>
            <w:tcW w:w="3419" w:type="dxa"/>
          </w:tcPr>
          <w:p w:rsidR="006F1394" w:rsidRPr="006F1394" w:rsidRDefault="006F1394" w:rsidP="006F1394">
            <w:r w:rsidRPr="006F1394">
              <w:t>Назначение и основные показатели проектируемого объекта</w:t>
            </w:r>
          </w:p>
          <w:p w:rsidR="006F1394" w:rsidRPr="006F1394" w:rsidRDefault="006F1394" w:rsidP="006F1394">
            <w:r w:rsidRPr="006F1394">
              <w:t xml:space="preserve"> </w:t>
            </w:r>
          </w:p>
        </w:tc>
        <w:tc>
          <w:tcPr>
            <w:tcW w:w="5547" w:type="dxa"/>
          </w:tcPr>
          <w:p w:rsidR="006F1394" w:rsidRPr="006F1394" w:rsidRDefault="006F1394" w:rsidP="006F1394">
            <w:r w:rsidRPr="006F1394">
              <w:t xml:space="preserve">6.1. Для присоединения данного </w:t>
            </w:r>
            <w:proofErr w:type="gramStart"/>
            <w:r w:rsidRPr="006F1394">
              <w:t>объекта  к</w:t>
            </w:r>
            <w:proofErr w:type="gramEnd"/>
            <w:r w:rsidRPr="006F1394">
              <w:t xml:space="preserve"> коммунальным сетям канализации (технические условия  б/н  от 01.06.2018 года) необходимо: </w:t>
            </w:r>
          </w:p>
          <w:p w:rsidR="006F1394" w:rsidRPr="006F1394" w:rsidRDefault="006F1394" w:rsidP="006F1394">
            <w:r w:rsidRPr="006F1394">
              <w:t>6.1.1.  Предусмотреть строительство новой КНС (мощность уточнить при проектировании).</w:t>
            </w:r>
          </w:p>
          <w:p w:rsidR="006F1394" w:rsidRPr="006F1394" w:rsidRDefault="006F1394" w:rsidP="006F1394">
            <w:r w:rsidRPr="006F1394">
              <w:t xml:space="preserve">6.1.2.  Строительство напорной общесплавной канализационной сети ориентировочным </w:t>
            </w:r>
            <w:proofErr w:type="gramStart"/>
            <w:r w:rsidRPr="006F1394">
              <w:t>диаметром  2</w:t>
            </w:r>
            <w:proofErr w:type="gramEnd"/>
            <w:r w:rsidRPr="006F1394">
              <w:t>х</w:t>
            </w:r>
            <w:r w:rsidRPr="006F1394">
              <w:rPr>
                <w:lang w:val="en-US"/>
              </w:rPr>
              <w:t>d</w:t>
            </w:r>
            <w:r w:rsidRPr="006F1394">
              <w:t>=300 мм</w:t>
            </w:r>
            <w:r w:rsidRPr="006F1394">
              <w:rPr>
                <w:b/>
              </w:rPr>
              <w:t xml:space="preserve"> </w:t>
            </w:r>
            <w:r w:rsidRPr="006F1394">
              <w:t>(уточнить при проектировании) на участке от КНС  до камеры гашения, ориентировочной протяженностью 2х500м (уточнить при проектировании);</w:t>
            </w:r>
          </w:p>
          <w:p w:rsidR="006F1394" w:rsidRPr="006F1394" w:rsidRDefault="006F1394" w:rsidP="006F1394">
            <w:r w:rsidRPr="006F1394">
              <w:t xml:space="preserve">6.1.3. Строительство самотечной общесплавной канализационной сети ориентировочным </w:t>
            </w:r>
            <w:proofErr w:type="gramStart"/>
            <w:r w:rsidRPr="006F1394">
              <w:t xml:space="preserve">диаметром  </w:t>
            </w:r>
            <w:r w:rsidRPr="006F1394">
              <w:rPr>
                <w:lang w:val="en-US"/>
              </w:rPr>
              <w:t>d</w:t>
            </w:r>
            <w:proofErr w:type="gramEnd"/>
            <w:r w:rsidRPr="006F1394">
              <w:t>=300 мм</w:t>
            </w:r>
            <w:r w:rsidRPr="006F1394">
              <w:rPr>
                <w:b/>
              </w:rPr>
              <w:t xml:space="preserve"> </w:t>
            </w:r>
            <w:r w:rsidRPr="006F1394">
              <w:t>(уточнить при проектировании) на участке от камеры гашения до существующей  сети канализации, ориентировочной протяженностью 5 м (уточнить при проектировании);</w:t>
            </w:r>
          </w:p>
          <w:p w:rsidR="006F1394" w:rsidRPr="006F1394" w:rsidRDefault="006F1394" w:rsidP="006F1394">
            <w:r w:rsidRPr="006F1394">
              <w:t>6.1.4. Отметка лотка – уточнить при проектировании.</w:t>
            </w:r>
          </w:p>
          <w:p w:rsidR="006F1394" w:rsidRPr="006F1394" w:rsidRDefault="006F1394" w:rsidP="006F1394">
            <w:r w:rsidRPr="006F1394">
              <w:t>6.1.5. Степень благоустройства – уточняется при проектировании.</w:t>
            </w:r>
          </w:p>
          <w:p w:rsidR="006F1394" w:rsidRPr="006F1394" w:rsidRDefault="006F1394" w:rsidP="006F1394">
            <w:r w:rsidRPr="006F1394">
              <w:t>6.1.6. Расходы сточных вод:</w:t>
            </w:r>
          </w:p>
          <w:p w:rsidR="006F1394" w:rsidRPr="006F1394" w:rsidRDefault="006F1394" w:rsidP="006F1394">
            <w:r w:rsidRPr="006F1394">
              <w:lastRenderedPageBreak/>
              <w:t>Общий расход бытовых сточных вод – уточняется при проектировании.</w:t>
            </w:r>
          </w:p>
        </w:tc>
      </w:tr>
      <w:tr w:rsidR="006F1394" w:rsidRPr="006F1394" w:rsidTr="00480A89">
        <w:trPr>
          <w:trHeight w:val="1404"/>
        </w:trPr>
        <w:tc>
          <w:tcPr>
            <w:tcW w:w="656" w:type="dxa"/>
          </w:tcPr>
          <w:p w:rsidR="006F1394" w:rsidRPr="006F1394" w:rsidRDefault="006F1394" w:rsidP="006F1394">
            <w:r w:rsidRPr="006F1394">
              <w:lastRenderedPageBreak/>
              <w:t>7.</w:t>
            </w:r>
          </w:p>
        </w:tc>
        <w:tc>
          <w:tcPr>
            <w:tcW w:w="3419" w:type="dxa"/>
          </w:tcPr>
          <w:p w:rsidR="006F1394" w:rsidRPr="006F1394" w:rsidRDefault="006F1394" w:rsidP="006F1394">
            <w:r w:rsidRPr="006F1394">
              <w:t>Технические требования к проектируемому объекту</w:t>
            </w:r>
          </w:p>
          <w:p w:rsidR="006F1394" w:rsidRPr="006F1394" w:rsidRDefault="006F1394" w:rsidP="006F1394"/>
          <w:p w:rsidR="006F1394" w:rsidRPr="006F1394" w:rsidRDefault="006F1394" w:rsidP="006F1394"/>
          <w:p w:rsidR="006F1394" w:rsidRPr="006F1394" w:rsidRDefault="006F1394" w:rsidP="006F1394"/>
          <w:p w:rsidR="006F1394" w:rsidRPr="006F1394" w:rsidRDefault="006F1394" w:rsidP="006F1394"/>
          <w:p w:rsidR="006F1394" w:rsidRPr="006F1394" w:rsidRDefault="006F1394" w:rsidP="006F1394"/>
          <w:p w:rsidR="006F1394" w:rsidRPr="006F1394" w:rsidRDefault="006F1394" w:rsidP="006F1394"/>
          <w:p w:rsidR="006F1394" w:rsidRPr="006F1394" w:rsidRDefault="006F1394" w:rsidP="006F1394"/>
          <w:p w:rsidR="006F1394" w:rsidRPr="006F1394" w:rsidRDefault="006F1394" w:rsidP="006F1394"/>
          <w:p w:rsidR="006F1394" w:rsidRPr="006F1394" w:rsidRDefault="006F1394" w:rsidP="006F1394"/>
          <w:p w:rsidR="006F1394" w:rsidRPr="006F1394" w:rsidRDefault="006F1394" w:rsidP="006F1394"/>
        </w:tc>
        <w:tc>
          <w:tcPr>
            <w:tcW w:w="5547" w:type="dxa"/>
          </w:tcPr>
          <w:p w:rsidR="006F1394" w:rsidRPr="006F1394" w:rsidRDefault="006F1394" w:rsidP="006F1394">
            <w:pPr>
              <w:rPr>
                <w:b/>
              </w:rPr>
            </w:pPr>
            <w:r w:rsidRPr="006F1394">
              <w:t>7.</w:t>
            </w:r>
            <w:proofErr w:type="gramStart"/>
            <w:r w:rsidRPr="006F1394">
              <w:t>1.Канализация</w:t>
            </w:r>
            <w:proofErr w:type="gramEnd"/>
            <w:r w:rsidRPr="006F1394">
              <w:t>.</w:t>
            </w:r>
          </w:p>
          <w:p w:rsidR="006F1394" w:rsidRPr="006F1394" w:rsidRDefault="006F1394" w:rsidP="006F1394">
            <w:r w:rsidRPr="006F1394">
              <w:t>7.1.1. Рекомендуется применять следующие материалы труб:</w:t>
            </w:r>
          </w:p>
          <w:p w:rsidR="006F1394" w:rsidRPr="006F1394" w:rsidRDefault="006F1394" w:rsidP="006F1394">
            <w:r w:rsidRPr="006F1394">
              <w:t>Для напорных трубопроводов:</w:t>
            </w:r>
          </w:p>
          <w:p w:rsidR="006F1394" w:rsidRPr="006F1394" w:rsidRDefault="006F1394" w:rsidP="006F1394">
            <w:r w:rsidRPr="006F1394">
              <w:t>-полиэтилен, с параметрами PE100;</w:t>
            </w:r>
          </w:p>
          <w:p w:rsidR="006F1394" w:rsidRPr="006F1394" w:rsidRDefault="006F1394" w:rsidP="006F1394">
            <w:r w:rsidRPr="006F1394">
              <w:t>- трубы из ВЧШГ с неразъемным соединением.</w:t>
            </w:r>
          </w:p>
          <w:p w:rsidR="006F1394" w:rsidRPr="006F1394" w:rsidRDefault="006F1394" w:rsidP="006F1394">
            <w:r w:rsidRPr="006F1394">
              <w:t>7.1.2. Колодцы на сети:</w:t>
            </w:r>
          </w:p>
          <w:p w:rsidR="006F1394" w:rsidRPr="006F1394" w:rsidRDefault="006F1394" w:rsidP="006F1394">
            <w:r w:rsidRPr="006F1394">
              <w:t>При строительстве сетей водоотведения рекомендуется применять колодцы:</w:t>
            </w:r>
          </w:p>
          <w:p w:rsidR="006F1394" w:rsidRPr="006F1394" w:rsidRDefault="006F1394" w:rsidP="006F1394">
            <w:r w:rsidRPr="006F1394">
              <w:t>- из сборных железобетонных элементов;</w:t>
            </w:r>
          </w:p>
          <w:p w:rsidR="006F1394" w:rsidRPr="006F1394" w:rsidRDefault="006F1394" w:rsidP="006F1394">
            <w:r w:rsidRPr="006F1394">
              <w:t>- из полипропилена, полиэтилена с обеспечением их герметичности.</w:t>
            </w:r>
          </w:p>
        </w:tc>
      </w:tr>
      <w:tr w:rsidR="006F1394" w:rsidRPr="006F1394" w:rsidTr="00480A89">
        <w:trPr>
          <w:trHeight w:val="139"/>
        </w:trPr>
        <w:tc>
          <w:tcPr>
            <w:tcW w:w="656" w:type="dxa"/>
          </w:tcPr>
          <w:p w:rsidR="006F1394" w:rsidRPr="006F1394" w:rsidRDefault="006F1394" w:rsidP="006F1394">
            <w:r w:rsidRPr="006F1394">
              <w:t>8.</w:t>
            </w:r>
          </w:p>
        </w:tc>
        <w:tc>
          <w:tcPr>
            <w:tcW w:w="3419" w:type="dxa"/>
          </w:tcPr>
          <w:p w:rsidR="006F1394" w:rsidRPr="006F1394" w:rsidRDefault="006F1394" w:rsidP="006F1394">
            <w:r w:rsidRPr="006F1394">
              <w:t>Состав проектно-сметной документации (рабочей документации)</w:t>
            </w:r>
          </w:p>
        </w:tc>
        <w:tc>
          <w:tcPr>
            <w:tcW w:w="5547" w:type="dxa"/>
          </w:tcPr>
          <w:p w:rsidR="006F1394" w:rsidRPr="006F1394" w:rsidRDefault="006F1394" w:rsidP="006F1394">
            <w:r w:rsidRPr="006F1394">
              <w:t xml:space="preserve">Проектно-сметная документация, достаточная для осуществления строительства объекта, совмещающая в себе проектную и рабочую документацию и отвечающая требованиям Постановления Правительства РФ от 16.02.2008 № 87, так и ГОСТов СПДС по видам </w:t>
            </w:r>
            <w:proofErr w:type="gramStart"/>
            <w:r w:rsidRPr="006F1394">
              <w:t>работ,  в</w:t>
            </w:r>
            <w:proofErr w:type="gramEnd"/>
            <w:r w:rsidRPr="006F1394">
              <w:t xml:space="preserve"> том числе:</w:t>
            </w:r>
          </w:p>
          <w:p w:rsidR="006F1394" w:rsidRPr="006F1394" w:rsidRDefault="006F1394" w:rsidP="006F1394">
            <w:r w:rsidRPr="006F1394">
              <w:t>- результаты инженерных изысканий (геологические, геодезические, археологические);</w:t>
            </w:r>
          </w:p>
          <w:p w:rsidR="006F1394" w:rsidRPr="006F1394" w:rsidRDefault="006F1394" w:rsidP="006F1394">
            <w:r w:rsidRPr="006F1394">
              <w:t xml:space="preserve"> -  раздел «Сметная документация» с предоставлением заключения экспертизы.</w:t>
            </w:r>
          </w:p>
          <w:p w:rsidR="006F1394" w:rsidRPr="006F1394" w:rsidRDefault="006F1394" w:rsidP="006F1394">
            <w:r w:rsidRPr="006F1394">
              <w:t xml:space="preserve"> - комплекты рабочих чертежей по ГОСТ 21. 604-82, включая:</w:t>
            </w:r>
          </w:p>
          <w:p w:rsidR="006F1394" w:rsidRPr="006F1394" w:rsidRDefault="006F1394" w:rsidP="006F1394">
            <w:r w:rsidRPr="006F1394">
              <w:t xml:space="preserve">                - ведомость объемов работ;</w:t>
            </w:r>
          </w:p>
          <w:p w:rsidR="006F1394" w:rsidRPr="006F1394" w:rsidRDefault="006F1394" w:rsidP="006F1394">
            <w:r w:rsidRPr="006F1394">
              <w:t xml:space="preserve">                -  профили прокладываемых сетей;</w:t>
            </w:r>
          </w:p>
          <w:p w:rsidR="006F1394" w:rsidRPr="006F1394" w:rsidRDefault="006F1394" w:rsidP="006F1394">
            <w:r w:rsidRPr="006F1394">
              <w:t xml:space="preserve">                -  проходы через колодцы;</w:t>
            </w:r>
          </w:p>
          <w:p w:rsidR="006F1394" w:rsidRPr="006F1394" w:rsidRDefault="006F1394" w:rsidP="006F1394">
            <w:r w:rsidRPr="006F1394">
              <w:t xml:space="preserve">                -  устройство упоров с расчетом массы и формы;</w:t>
            </w:r>
          </w:p>
          <w:p w:rsidR="006F1394" w:rsidRPr="006F1394" w:rsidRDefault="006F1394" w:rsidP="006F1394">
            <w:r w:rsidRPr="006F1394">
              <w:t xml:space="preserve">                   -  деталировки узлов;</w:t>
            </w:r>
          </w:p>
          <w:p w:rsidR="006F1394" w:rsidRPr="006F1394" w:rsidRDefault="006F1394" w:rsidP="006F1394">
            <w:r w:rsidRPr="006F1394">
              <w:t xml:space="preserve">         -  спецификация оборудования, изделий и материалов.</w:t>
            </w:r>
          </w:p>
        </w:tc>
      </w:tr>
      <w:tr w:rsidR="006F1394" w:rsidRPr="006F1394" w:rsidTr="00480A89">
        <w:trPr>
          <w:trHeight w:val="139"/>
        </w:trPr>
        <w:tc>
          <w:tcPr>
            <w:tcW w:w="656" w:type="dxa"/>
          </w:tcPr>
          <w:p w:rsidR="006F1394" w:rsidRPr="006F1394" w:rsidRDefault="006F1394" w:rsidP="006F1394">
            <w:r w:rsidRPr="006F1394">
              <w:t>9.</w:t>
            </w:r>
          </w:p>
        </w:tc>
        <w:tc>
          <w:tcPr>
            <w:tcW w:w="3419" w:type="dxa"/>
          </w:tcPr>
          <w:p w:rsidR="006F1394" w:rsidRPr="006F1394" w:rsidRDefault="006F1394" w:rsidP="006F1394">
            <w:r w:rsidRPr="006F1394">
              <w:t xml:space="preserve">Содержание проектной документации </w:t>
            </w:r>
          </w:p>
          <w:p w:rsidR="006F1394" w:rsidRPr="006F1394" w:rsidRDefault="006F1394" w:rsidP="006F1394"/>
        </w:tc>
        <w:tc>
          <w:tcPr>
            <w:tcW w:w="5547" w:type="dxa"/>
          </w:tcPr>
          <w:p w:rsidR="006F1394" w:rsidRPr="006F1394" w:rsidRDefault="006F1394" w:rsidP="006F1394">
            <w:r w:rsidRPr="006F1394">
              <w:lastRenderedPageBreak/>
              <w:t xml:space="preserve">В соответствии с требованиями Постановления Правительства РФ от 16.02.2008 № 87, включая </w:t>
            </w:r>
            <w:r w:rsidRPr="006F1394">
              <w:lastRenderedPageBreak/>
              <w:t>инженерные изыскания (геологические, геодезические, археологические).</w:t>
            </w:r>
          </w:p>
        </w:tc>
      </w:tr>
      <w:tr w:rsidR="006F1394" w:rsidRPr="006F1394" w:rsidTr="00480A89">
        <w:trPr>
          <w:trHeight w:val="139"/>
        </w:trPr>
        <w:tc>
          <w:tcPr>
            <w:tcW w:w="656" w:type="dxa"/>
          </w:tcPr>
          <w:p w:rsidR="006F1394" w:rsidRPr="006F1394" w:rsidRDefault="006F1394" w:rsidP="006F1394">
            <w:r w:rsidRPr="006F1394">
              <w:lastRenderedPageBreak/>
              <w:t>10.</w:t>
            </w:r>
          </w:p>
        </w:tc>
        <w:tc>
          <w:tcPr>
            <w:tcW w:w="3419" w:type="dxa"/>
          </w:tcPr>
          <w:p w:rsidR="006F1394" w:rsidRPr="006F1394" w:rsidRDefault="006F1394" w:rsidP="006F1394">
            <w:r w:rsidRPr="006F1394">
              <w:t>Особые условия</w:t>
            </w:r>
          </w:p>
        </w:tc>
        <w:tc>
          <w:tcPr>
            <w:tcW w:w="5547" w:type="dxa"/>
          </w:tcPr>
          <w:p w:rsidR="006F1394" w:rsidRPr="006F1394" w:rsidRDefault="006F1394" w:rsidP="006F1394">
            <w:r w:rsidRPr="006F1394">
              <w:t>10.</w:t>
            </w:r>
            <w:proofErr w:type="gramStart"/>
            <w:r w:rsidRPr="006F1394">
              <w:t>1.Сбор</w:t>
            </w:r>
            <w:proofErr w:type="gramEnd"/>
            <w:r w:rsidRPr="006F1394">
              <w:t xml:space="preserve"> исходных данных для проектирования, включая  схемы канализационных  сетей, наличие  и принадлежность пересекаемых коммуникаций выполняются подрядчиком.</w:t>
            </w:r>
          </w:p>
          <w:p w:rsidR="006F1394" w:rsidRPr="006F1394" w:rsidRDefault="006F1394" w:rsidP="006F1394">
            <w:r w:rsidRPr="006F1394">
              <w:t>10.2. Перекладка инженерных коммуникаций, попадающих в зону производства работ, выполняется по техническим условиям владельцев сетей.</w:t>
            </w:r>
          </w:p>
          <w:p w:rsidR="006F1394" w:rsidRPr="006F1394" w:rsidRDefault="006F1394" w:rsidP="006F1394">
            <w:r w:rsidRPr="006F1394">
              <w:t xml:space="preserve">10.3. Вскрытие и восстановление асфальтобетонных покрытий и зеленых зон выполнить по условиям владельцев. </w:t>
            </w:r>
          </w:p>
          <w:p w:rsidR="006F1394" w:rsidRPr="006F1394" w:rsidRDefault="006F1394" w:rsidP="006F1394">
            <w:r w:rsidRPr="006F1394">
              <w:t>10.</w:t>
            </w:r>
            <w:proofErr w:type="gramStart"/>
            <w:r w:rsidRPr="006F1394">
              <w:t>4.Выполнить</w:t>
            </w:r>
            <w:proofErr w:type="gramEnd"/>
            <w:r w:rsidRPr="006F1394">
              <w:t xml:space="preserve">, при необходимости, схему отвода транспорта на период производства работ. </w:t>
            </w:r>
          </w:p>
          <w:p w:rsidR="006F1394" w:rsidRPr="006F1394" w:rsidRDefault="006F1394" w:rsidP="006F1394">
            <w:r w:rsidRPr="006F1394">
              <w:t xml:space="preserve">10.5. При необходимости сноса сооружений, попадающих в зону строительства, проектная организация передает Заказчику необходимый материал для решения и оценки </w:t>
            </w:r>
            <w:proofErr w:type="spellStart"/>
            <w:r w:rsidRPr="006F1394">
              <w:t>имущественно</w:t>
            </w:r>
            <w:proofErr w:type="spellEnd"/>
            <w:r w:rsidRPr="006F1394">
              <w:t>-правовых вопросов с последующим включением компенсационных затрат в сводную смету.</w:t>
            </w:r>
          </w:p>
        </w:tc>
      </w:tr>
      <w:tr w:rsidR="006F1394" w:rsidRPr="006F1394" w:rsidTr="00480A89">
        <w:trPr>
          <w:trHeight w:val="567"/>
        </w:trPr>
        <w:tc>
          <w:tcPr>
            <w:tcW w:w="656" w:type="dxa"/>
          </w:tcPr>
          <w:p w:rsidR="006F1394" w:rsidRPr="006F1394" w:rsidRDefault="006F1394" w:rsidP="006F1394">
            <w:r w:rsidRPr="006F1394">
              <w:t>11.</w:t>
            </w:r>
          </w:p>
        </w:tc>
        <w:tc>
          <w:tcPr>
            <w:tcW w:w="3419" w:type="dxa"/>
          </w:tcPr>
          <w:p w:rsidR="006F1394" w:rsidRPr="006F1394" w:rsidRDefault="006F1394" w:rsidP="006F1394">
            <w:r w:rsidRPr="006F1394">
              <w:t>Требования и условия к разработке природоохранных мер и мероприятий</w:t>
            </w:r>
          </w:p>
        </w:tc>
        <w:tc>
          <w:tcPr>
            <w:tcW w:w="5547" w:type="dxa"/>
          </w:tcPr>
          <w:p w:rsidR="006F1394" w:rsidRPr="006F1394" w:rsidRDefault="006F1394" w:rsidP="006F1394">
            <w:r w:rsidRPr="006F1394">
              <w:t xml:space="preserve">       Разработать мероприятия по охране окружающей среды, в соответствии с требованиями действующих законодательных и нормативных документов.</w:t>
            </w:r>
          </w:p>
        </w:tc>
      </w:tr>
      <w:tr w:rsidR="006F1394" w:rsidRPr="006F1394" w:rsidTr="00480A89">
        <w:trPr>
          <w:trHeight w:val="708"/>
        </w:trPr>
        <w:tc>
          <w:tcPr>
            <w:tcW w:w="656" w:type="dxa"/>
          </w:tcPr>
          <w:p w:rsidR="006F1394" w:rsidRPr="006F1394" w:rsidRDefault="006F1394" w:rsidP="006F1394">
            <w:r w:rsidRPr="006F1394">
              <w:t>12.</w:t>
            </w:r>
          </w:p>
        </w:tc>
        <w:tc>
          <w:tcPr>
            <w:tcW w:w="3419" w:type="dxa"/>
          </w:tcPr>
          <w:p w:rsidR="006F1394" w:rsidRPr="006F1394" w:rsidRDefault="006F1394" w:rsidP="006F1394">
            <w:r w:rsidRPr="006F1394">
              <w:t>Требования к сметной документации</w:t>
            </w:r>
          </w:p>
          <w:p w:rsidR="006F1394" w:rsidRPr="006F1394" w:rsidRDefault="006F1394" w:rsidP="006F1394"/>
          <w:p w:rsidR="006F1394" w:rsidRPr="006F1394" w:rsidRDefault="006F1394" w:rsidP="006F1394"/>
        </w:tc>
        <w:tc>
          <w:tcPr>
            <w:tcW w:w="5547" w:type="dxa"/>
          </w:tcPr>
          <w:p w:rsidR="006F1394" w:rsidRPr="006F1394" w:rsidRDefault="006F1394" w:rsidP="006F1394">
            <w:r w:rsidRPr="006F1394">
              <w:t xml:space="preserve">       Сметную документацию выполнить в двух уровнях цен: в базовых ценах 2001 г. и в текущих ценах. </w:t>
            </w:r>
          </w:p>
          <w:p w:rsidR="006F1394" w:rsidRPr="006F1394" w:rsidRDefault="006F1394" w:rsidP="006F1394"/>
        </w:tc>
      </w:tr>
      <w:tr w:rsidR="006F1394" w:rsidRPr="006F1394" w:rsidTr="00480A89">
        <w:trPr>
          <w:trHeight w:val="925"/>
        </w:trPr>
        <w:tc>
          <w:tcPr>
            <w:tcW w:w="656" w:type="dxa"/>
          </w:tcPr>
          <w:p w:rsidR="006F1394" w:rsidRPr="006F1394" w:rsidRDefault="006F1394" w:rsidP="006F1394">
            <w:r w:rsidRPr="006F1394">
              <w:t>13.</w:t>
            </w:r>
          </w:p>
        </w:tc>
        <w:tc>
          <w:tcPr>
            <w:tcW w:w="3419" w:type="dxa"/>
          </w:tcPr>
          <w:p w:rsidR="006F1394" w:rsidRPr="006F1394" w:rsidRDefault="006F1394" w:rsidP="006F1394">
            <w:r w:rsidRPr="006F1394">
              <w:t>Согласование проектных решений</w:t>
            </w:r>
          </w:p>
        </w:tc>
        <w:tc>
          <w:tcPr>
            <w:tcW w:w="5547" w:type="dxa"/>
          </w:tcPr>
          <w:p w:rsidR="006F1394" w:rsidRPr="006F1394" w:rsidRDefault="006F1394" w:rsidP="006F1394">
            <w:r w:rsidRPr="006F1394">
              <w:t xml:space="preserve">     Проектную документацию согласовать в установленном порядке.</w:t>
            </w:r>
          </w:p>
        </w:tc>
      </w:tr>
      <w:tr w:rsidR="006F1394" w:rsidRPr="006F1394" w:rsidTr="00480A89">
        <w:trPr>
          <w:trHeight w:val="901"/>
        </w:trPr>
        <w:tc>
          <w:tcPr>
            <w:tcW w:w="656" w:type="dxa"/>
          </w:tcPr>
          <w:p w:rsidR="006F1394" w:rsidRPr="006F1394" w:rsidRDefault="006F1394" w:rsidP="006F1394">
            <w:r w:rsidRPr="006F1394">
              <w:t>14.</w:t>
            </w:r>
          </w:p>
        </w:tc>
        <w:tc>
          <w:tcPr>
            <w:tcW w:w="3419" w:type="dxa"/>
          </w:tcPr>
          <w:p w:rsidR="006F1394" w:rsidRPr="006F1394" w:rsidRDefault="006F1394" w:rsidP="006F1394">
            <w:r w:rsidRPr="006F1394">
              <w:t>Требования к количеству экземпляров</w:t>
            </w:r>
          </w:p>
        </w:tc>
        <w:tc>
          <w:tcPr>
            <w:tcW w:w="5547" w:type="dxa"/>
          </w:tcPr>
          <w:p w:rsidR="006F1394" w:rsidRPr="006F1394" w:rsidRDefault="006F1394" w:rsidP="006F1394">
            <w:r w:rsidRPr="006F1394">
              <w:t xml:space="preserve">     В 5 экземплярах на бумажном носителе, рабочие чертежи проектной документации </w:t>
            </w:r>
            <w:proofErr w:type="spellStart"/>
            <w:r w:rsidRPr="006F1394">
              <w:t>сброшюровываются</w:t>
            </w:r>
            <w:proofErr w:type="spellEnd"/>
            <w:r w:rsidRPr="006F1394">
              <w:t xml:space="preserve"> в тома, сложенные на формат А3, А4.</w:t>
            </w:r>
          </w:p>
          <w:p w:rsidR="006F1394" w:rsidRPr="006F1394" w:rsidRDefault="006F1394" w:rsidP="006F1394">
            <w:r w:rsidRPr="006F1394">
              <w:t xml:space="preserve">    1 экземпляр </w:t>
            </w:r>
            <w:proofErr w:type="gramStart"/>
            <w:r w:rsidRPr="006F1394">
              <w:t>на электронном носители</w:t>
            </w:r>
            <w:proofErr w:type="gramEnd"/>
            <w:r w:rsidRPr="006F1394">
              <w:t>.</w:t>
            </w:r>
          </w:p>
          <w:p w:rsidR="006F1394" w:rsidRPr="006F1394" w:rsidRDefault="006F1394" w:rsidP="006F1394">
            <w:r w:rsidRPr="006F1394">
              <w:t xml:space="preserve">     Сметную документацию в электронном виде 1 экземпляр в формате АПРС1.10 для обмена между различными сметными программными комплексами с приложением копии регистрационной карты пользователя эталонной СНБ, выданной продавцом сметной программы и зарегистрированной в ФАУ Федерального центра ценообразования в </w:t>
            </w:r>
            <w:r w:rsidRPr="006F1394">
              <w:lastRenderedPageBreak/>
              <w:t xml:space="preserve">строительстве и промышленности строительных материалов. </w:t>
            </w:r>
          </w:p>
          <w:p w:rsidR="006F1394" w:rsidRPr="006F1394" w:rsidRDefault="006F1394" w:rsidP="006F1394">
            <w:r w:rsidRPr="006F1394">
              <w:t xml:space="preserve">     Текстовые файлы и табличные форматы на электронных носителях в формате </w:t>
            </w:r>
            <w:proofErr w:type="spellStart"/>
            <w:r w:rsidRPr="006F1394">
              <w:t>Word</w:t>
            </w:r>
            <w:proofErr w:type="spellEnd"/>
            <w:r w:rsidRPr="006F1394">
              <w:t xml:space="preserve"> или </w:t>
            </w:r>
            <w:proofErr w:type="spellStart"/>
            <w:r w:rsidRPr="006F1394">
              <w:t>Excel</w:t>
            </w:r>
            <w:proofErr w:type="spellEnd"/>
            <w:r w:rsidRPr="006F1394">
              <w:t xml:space="preserve">, рабочие чертежи в формате PDF, для 3D CAУ в формате </w:t>
            </w:r>
            <w:proofErr w:type="spellStart"/>
            <w:r w:rsidRPr="006F1394">
              <w:t>Auto</w:t>
            </w:r>
            <w:proofErr w:type="spellEnd"/>
            <w:r w:rsidRPr="006F1394">
              <w:t xml:space="preserve"> CAD</w:t>
            </w:r>
          </w:p>
          <w:p w:rsidR="006F1394" w:rsidRPr="006F1394" w:rsidRDefault="006F1394" w:rsidP="006F1394">
            <w:r w:rsidRPr="006F1394">
              <w:t>Состав электронной версии проектной документации должен быть идентичен бумажному оригиналу.</w:t>
            </w:r>
          </w:p>
          <w:p w:rsidR="006F1394" w:rsidRPr="006F1394" w:rsidRDefault="006F1394" w:rsidP="006F1394">
            <w:r w:rsidRPr="006F1394">
              <w:t xml:space="preserve">      Технический отчет по изысканиям - 3 экземпляра.</w:t>
            </w:r>
          </w:p>
        </w:tc>
      </w:tr>
    </w:tbl>
    <w:p w:rsidR="00626B49" w:rsidRDefault="006F1394">
      <w:bookmarkStart w:id="0" w:name="_GoBack"/>
      <w:bookmarkEnd w:id="0"/>
    </w:p>
    <w:sectPr w:rsidR="0062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94"/>
    <w:rsid w:val="0059070E"/>
    <w:rsid w:val="005B18C1"/>
    <w:rsid w:val="006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B8125-6D56-4780-BDBB-870391D1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Serega</cp:lastModifiedBy>
  <cp:revision>1</cp:revision>
  <dcterms:created xsi:type="dcterms:W3CDTF">2019-11-04T09:52:00Z</dcterms:created>
  <dcterms:modified xsi:type="dcterms:W3CDTF">2019-11-04T09:53:00Z</dcterms:modified>
</cp:coreProperties>
</file>