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80" w:rsidRDefault="00E1538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Toc303757505"/>
      <w:bookmarkStart w:id="1" w:name="_GoBack"/>
      <w:bookmarkEnd w:id="1"/>
    </w:p>
    <w:p w:rsidR="00E15380" w:rsidRDefault="00E153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380" w:rsidRDefault="00E153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380" w:rsidRDefault="00E153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380" w:rsidRDefault="00E153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380" w:rsidRDefault="00E153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380" w:rsidRDefault="00E153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380" w:rsidRDefault="00E153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380" w:rsidRDefault="005F5C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ЗАДАНИЕ</w:t>
      </w:r>
      <w:bookmarkEnd w:id="0"/>
    </w:p>
    <w:p w:rsidR="00E15380" w:rsidRDefault="00E153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380" w:rsidRDefault="005F5CE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выполнение работ по проектированию</w:t>
      </w:r>
    </w:p>
    <w:p w:rsidR="00E15380" w:rsidRDefault="005F5CE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 обработки данных</w:t>
      </w:r>
    </w:p>
    <w:p w:rsidR="00E15380" w:rsidRDefault="00E1538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E15380" w:rsidRDefault="00E15380">
      <w:pPr>
        <w:rPr>
          <w:rFonts w:ascii="Times New Roman" w:hAnsi="Times New Roman"/>
          <w:sz w:val="24"/>
          <w:szCs w:val="24"/>
        </w:rPr>
      </w:pPr>
    </w:p>
    <w:p w:rsidR="00E15380" w:rsidRDefault="00E15380">
      <w:pPr>
        <w:jc w:val="center"/>
        <w:rPr>
          <w:rFonts w:ascii="Times New Roman" w:hAnsi="Times New Roman"/>
          <w:b/>
          <w:sz w:val="24"/>
          <w:szCs w:val="24"/>
        </w:rPr>
      </w:pPr>
      <w:bookmarkStart w:id="2" w:name="_Toc303757508"/>
    </w:p>
    <w:p w:rsidR="00E15380" w:rsidRDefault="00E153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380" w:rsidRDefault="005F5CE0">
      <w:pPr>
        <w:spacing w:after="200" w:line="276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15380" w:rsidRDefault="00E153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380" w:rsidRDefault="005F5C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  <w:bookmarkEnd w:id="2"/>
    </w:p>
    <w:p w:rsidR="00E15380" w:rsidRDefault="00E15380">
      <w:pPr>
        <w:rPr>
          <w:rFonts w:ascii="Times New Roman" w:hAnsi="Times New Roman"/>
          <w:b/>
          <w:sz w:val="24"/>
          <w:szCs w:val="24"/>
        </w:rPr>
      </w:pPr>
    </w:p>
    <w:p w:rsidR="00E15380" w:rsidRDefault="005F5CE0">
      <w:pPr>
        <w:pStyle w:val="14"/>
        <w:tabs>
          <w:tab w:val="right" w:leader="dot" w:pos="9846"/>
        </w:tabs>
      </w:pPr>
      <w:r>
        <w:rPr>
          <w:rFonts w:ascii="Times New Roman" w:hAnsi="Times New Roman"/>
          <w:b/>
          <w:sz w:val="24"/>
          <w:szCs w:val="24"/>
        </w:rPr>
        <w:fldChar w:fldCharType="begin"/>
      </w:r>
      <w:r>
        <w:rPr>
          <w:rFonts w:ascii="Times New Roman" w:hAnsi="Times New Roman"/>
          <w:b/>
          <w:sz w:val="24"/>
          <w:szCs w:val="24"/>
        </w:rPr>
        <w:instrText xml:space="preserve"> TOC \o "1-4" \h \z \u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hyperlink w:anchor="_Toc4972" w:history="1">
        <w:r>
          <w:rPr>
            <w:rFonts w:ascii="Times New Roman" w:hAnsi="Times New Roman"/>
            <w:szCs w:val="24"/>
          </w:rPr>
          <w:t>1. Общая информация об объекте разработки</w:t>
        </w:r>
        <w:r>
          <w:tab/>
        </w:r>
        <w:fldSimple w:instr=" PAGEREF _Toc4972 ">
          <w:r>
            <w:t>3</w:t>
          </w:r>
        </w:fldSimple>
      </w:hyperlink>
    </w:p>
    <w:p w:rsidR="00E15380" w:rsidRDefault="00886C7A">
      <w:pPr>
        <w:pStyle w:val="14"/>
        <w:tabs>
          <w:tab w:val="right" w:leader="dot" w:pos="9846"/>
        </w:tabs>
      </w:pPr>
      <w:hyperlink w:anchor="_Toc3131" w:history="1">
        <w:r w:rsidR="005F5CE0">
          <w:rPr>
            <w:rFonts w:ascii="Times New Roman" w:hAnsi="Times New Roman"/>
            <w:szCs w:val="24"/>
          </w:rPr>
          <w:t>2. Термины и определения</w:t>
        </w:r>
        <w:r w:rsidR="005F5CE0">
          <w:tab/>
        </w:r>
        <w:fldSimple w:instr=" PAGEREF _Toc3131 ">
          <w:r w:rsidR="005F5CE0">
            <w:t>4</w:t>
          </w:r>
        </w:fldSimple>
      </w:hyperlink>
    </w:p>
    <w:p w:rsidR="00E15380" w:rsidRDefault="00886C7A">
      <w:pPr>
        <w:pStyle w:val="14"/>
        <w:tabs>
          <w:tab w:val="right" w:leader="dot" w:pos="9846"/>
        </w:tabs>
      </w:pPr>
      <w:hyperlink w:anchor="_Toc17206" w:history="1">
        <w:r w:rsidR="005F5CE0">
          <w:rPr>
            <w:rFonts w:ascii="Times New Roman" w:hAnsi="Times New Roman"/>
            <w:szCs w:val="24"/>
          </w:rPr>
          <w:t>3. Описание требований к рабочей документации</w:t>
        </w:r>
        <w:r w:rsidR="005F5CE0">
          <w:tab/>
        </w:r>
        <w:fldSimple w:instr=" PAGEREF _Toc17206 ">
          <w:r w:rsidR="005F5CE0">
            <w:t>5</w:t>
          </w:r>
        </w:fldSimple>
      </w:hyperlink>
    </w:p>
    <w:p w:rsidR="00E15380" w:rsidRDefault="00886C7A">
      <w:pPr>
        <w:pStyle w:val="14"/>
        <w:tabs>
          <w:tab w:val="right" w:leader="dot" w:pos="9846"/>
        </w:tabs>
      </w:pPr>
      <w:hyperlink w:anchor="_Toc12993" w:history="1">
        <w:r w:rsidR="005F5CE0">
          <w:rPr>
            <w:rFonts w:ascii="Times New Roman" w:hAnsi="Times New Roman"/>
            <w:szCs w:val="24"/>
          </w:rPr>
          <w:t>4. Используемые нормативные документы</w:t>
        </w:r>
        <w:r w:rsidR="005F5CE0">
          <w:tab/>
        </w:r>
        <w:fldSimple w:instr=" PAGEREF _Toc12993 ">
          <w:r w:rsidR="005F5CE0">
            <w:t>6</w:t>
          </w:r>
        </w:fldSimple>
      </w:hyperlink>
    </w:p>
    <w:p w:rsidR="00E15380" w:rsidRDefault="00886C7A">
      <w:pPr>
        <w:pStyle w:val="14"/>
        <w:tabs>
          <w:tab w:val="right" w:leader="dot" w:pos="9846"/>
        </w:tabs>
      </w:pPr>
      <w:hyperlink w:anchor="_Toc31897" w:history="1">
        <w:r w:rsidR="005F5CE0">
          <w:rPr>
            <w:rFonts w:ascii="Times New Roman" w:hAnsi="Times New Roman"/>
            <w:szCs w:val="24"/>
          </w:rPr>
          <w:t>5. Описание требований к проектным решениям</w:t>
        </w:r>
        <w:r w:rsidR="005F5CE0">
          <w:tab/>
        </w:r>
        <w:fldSimple w:instr=" PAGEREF _Toc31897 ">
          <w:r w:rsidR="005F5CE0">
            <w:t>8</w:t>
          </w:r>
        </w:fldSimple>
      </w:hyperlink>
    </w:p>
    <w:p w:rsidR="00E15380" w:rsidRDefault="00886C7A">
      <w:pPr>
        <w:pStyle w:val="14"/>
        <w:tabs>
          <w:tab w:val="right" w:leader="dot" w:pos="9846"/>
        </w:tabs>
      </w:pPr>
      <w:hyperlink w:anchor="_Toc5077" w:history="1">
        <w:r w:rsidR="005F5CE0">
          <w:rPr>
            <w:rFonts w:ascii="Times New Roman" w:hAnsi="Times New Roman"/>
            <w:szCs w:val="24"/>
          </w:rPr>
          <w:t>6. Сметная документация</w:t>
        </w:r>
        <w:r w:rsidR="005F5CE0">
          <w:tab/>
        </w:r>
        <w:fldSimple w:instr=" PAGEREF _Toc5077 ">
          <w:r w:rsidR="005F5CE0">
            <w:t>16</w:t>
          </w:r>
        </w:fldSimple>
      </w:hyperlink>
    </w:p>
    <w:p w:rsidR="00E15380" w:rsidRDefault="005F5CE0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E15380" w:rsidRDefault="005F5CE0">
      <w:pPr>
        <w:pStyle w:val="1"/>
        <w:rPr>
          <w:rFonts w:ascii="Times New Roman" w:hAnsi="Times New Roman"/>
          <w:szCs w:val="24"/>
        </w:rPr>
      </w:pPr>
      <w:bookmarkStart w:id="3" w:name="_Toc4972"/>
      <w:r>
        <w:rPr>
          <w:rFonts w:ascii="Times New Roman" w:hAnsi="Times New Roman"/>
          <w:szCs w:val="24"/>
        </w:rPr>
        <w:lastRenderedPageBreak/>
        <w:t>Общая информация об объекте разработки</w:t>
      </w:r>
      <w:bookmarkEnd w:id="3"/>
    </w:p>
    <w:p w:rsidR="00E15380" w:rsidRDefault="00E15380">
      <w:pPr>
        <w:ind w:firstLine="567"/>
        <w:rPr>
          <w:rFonts w:ascii="Times New Roman" w:hAnsi="Times New Roman"/>
          <w:sz w:val="24"/>
          <w:szCs w:val="24"/>
        </w:rPr>
      </w:pPr>
    </w:p>
    <w:p w:rsidR="00E15380" w:rsidRDefault="005F5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Объектом разработки являются помещения, выделяемые под центр обработки данных (далее - ЦОД) площадью 39,46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F5CE0" w:rsidRDefault="005F5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Размещение ЦОД планируется на 1-м этаже вновь строящегося корпуса </w:t>
      </w:r>
    </w:p>
    <w:p w:rsidR="00E15380" w:rsidRDefault="005F5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помещении ЦОД размещается следующее оборудование: 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ИТ - шкафы; 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коммутационные шкафы; 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шкафы активного сетевого оборудования; 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климатическое оборудование; 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система бесперебойного электропитания; 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система автоматического газового пожаротушения.</w:t>
      </w:r>
    </w:p>
    <w:p w:rsidR="00E15380" w:rsidRDefault="00E15380">
      <w:pPr>
        <w:jc w:val="center"/>
        <w:rPr>
          <w:rFonts w:ascii="Times New Roman" w:hAnsi="Times New Roman"/>
          <w:sz w:val="24"/>
          <w:szCs w:val="24"/>
        </w:rPr>
      </w:pPr>
    </w:p>
    <w:p w:rsidR="00E15380" w:rsidRDefault="00E15380">
      <w:pPr>
        <w:jc w:val="center"/>
        <w:rPr>
          <w:rFonts w:ascii="Times New Roman" w:hAnsi="Times New Roman"/>
          <w:sz w:val="24"/>
          <w:szCs w:val="24"/>
        </w:rPr>
      </w:pPr>
    </w:p>
    <w:p w:rsidR="00E15380" w:rsidRDefault="00E15380">
      <w:pPr>
        <w:jc w:val="center"/>
        <w:rPr>
          <w:rFonts w:ascii="Times New Roman" w:hAnsi="Times New Roman"/>
          <w:sz w:val="24"/>
          <w:szCs w:val="24"/>
        </w:rPr>
      </w:pPr>
    </w:p>
    <w:p w:rsidR="00E15380" w:rsidRDefault="005F5CE0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Планировка помещения:</w:t>
      </w:r>
    </w:p>
    <w:p w:rsidR="00E15380" w:rsidRDefault="00E15380">
      <w:pPr>
        <w:jc w:val="center"/>
        <w:rPr>
          <w:rFonts w:ascii="Times New Roman" w:hAnsi="Times New Roman"/>
          <w:sz w:val="24"/>
          <w:szCs w:val="24"/>
        </w:rPr>
      </w:pPr>
    </w:p>
    <w:p w:rsidR="00E15380" w:rsidRDefault="00E15380">
      <w:pPr>
        <w:jc w:val="center"/>
        <w:rPr>
          <w:rFonts w:ascii="Times New Roman" w:hAnsi="Times New Roman"/>
          <w:sz w:val="24"/>
          <w:szCs w:val="24"/>
        </w:rPr>
      </w:pPr>
    </w:p>
    <w:p w:rsidR="00E15380" w:rsidRDefault="00E15380">
      <w:pPr>
        <w:jc w:val="center"/>
        <w:rPr>
          <w:rFonts w:ascii="Times New Roman" w:hAnsi="Times New Roman"/>
          <w:sz w:val="24"/>
          <w:szCs w:val="24"/>
        </w:rPr>
      </w:pPr>
    </w:p>
    <w:p w:rsidR="00E15380" w:rsidRDefault="00E15380">
      <w:pPr>
        <w:jc w:val="center"/>
        <w:rPr>
          <w:rFonts w:ascii="Times New Roman" w:hAnsi="Times New Roman"/>
          <w:sz w:val="24"/>
          <w:szCs w:val="24"/>
        </w:rPr>
      </w:pPr>
    </w:p>
    <w:p w:rsidR="00E15380" w:rsidRDefault="005F5CE0">
      <w:pPr>
        <w:spacing w:after="200" w:line="276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47790" cy="4676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1872" cy="47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br w:type="page"/>
      </w:r>
    </w:p>
    <w:p w:rsidR="00E15380" w:rsidRDefault="005F5CE0">
      <w:pPr>
        <w:pStyle w:val="1"/>
        <w:rPr>
          <w:rFonts w:ascii="Times New Roman" w:hAnsi="Times New Roman"/>
          <w:szCs w:val="24"/>
        </w:rPr>
      </w:pPr>
      <w:bookmarkStart w:id="4" w:name="_Toc3131"/>
      <w:r>
        <w:rPr>
          <w:rFonts w:ascii="Times New Roman" w:hAnsi="Times New Roman"/>
          <w:szCs w:val="24"/>
        </w:rPr>
        <w:lastRenderedPageBreak/>
        <w:t>Термины и определения</w:t>
      </w:r>
      <w:bookmarkEnd w:id="4"/>
    </w:p>
    <w:p w:rsidR="00E15380" w:rsidRDefault="00E15380">
      <w:pPr>
        <w:ind w:left="1831"/>
        <w:rPr>
          <w:rFonts w:ascii="Times New Roman" w:hAnsi="Times New Roman"/>
          <w:b/>
          <w:sz w:val="24"/>
          <w:szCs w:val="24"/>
        </w:rPr>
      </w:pPr>
    </w:p>
    <w:p w:rsidR="00E15380" w:rsidRDefault="00E15380">
      <w:pPr>
        <w:ind w:left="1831"/>
        <w:rPr>
          <w:rFonts w:ascii="Times New Roman" w:hAnsi="Times New Roman"/>
          <w:b/>
          <w:sz w:val="24"/>
          <w:szCs w:val="24"/>
        </w:rPr>
      </w:pPr>
    </w:p>
    <w:tbl>
      <w:tblPr>
        <w:tblW w:w="9540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560"/>
      </w:tblGrid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Сокращение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Расшифровка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АСПТ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Автоматическая система газового пожаротушения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ГРЩ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Главный распределительный щит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АКБ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Аккумуляторные батареи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ИБП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Источник бесперебойного питания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Информационные технологии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информационных технологий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проект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ППКОП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приемно-контрольный охранно-пожарный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ПУЭ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СИО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Системы инженерного обеспечения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ОВ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Охлаждение и вентиляция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ВК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Водопровод и канализация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СКС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Структурированная кабельная система</w:t>
            </w:r>
          </w:p>
        </w:tc>
      </w:tr>
      <w:tr w:rsidR="00E15380">
        <w:trPr>
          <w:trHeight w:hRule="exact" w:val="345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СУиК</w:t>
            </w:r>
            <w:proofErr w:type="spellEnd"/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управления и интерактивного контроля инженерных систем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ТП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Трансформаторная подстанция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ЦОД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Центр Обработки Данных</w:t>
            </w:r>
          </w:p>
        </w:tc>
      </w:tr>
      <w:tr w:rsidR="00E15380">
        <w:trPr>
          <w:trHeight w:hRule="exact" w:val="652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ШРП ОИТ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left="169" w:firstLine="5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Шкаф распределения питания оборудования информационных технологий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ЩСО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Щит системы охлаждения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ЩО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Щит освещения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СКД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Система контроля доступа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ВКЛ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Внешние кабельные линии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ДГУ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Дизель-генераторная установка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ОС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Система охранной сигнализации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АРМ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Автоматизированное рабочее место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АПС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Автоматическая пожарная сигнализация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СОП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Система оповещения о пожаре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СОВ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Система охранного видеонаблюдения</w:t>
            </w:r>
          </w:p>
        </w:tc>
      </w:tr>
      <w:tr w:rsidR="00E15380">
        <w:trPr>
          <w:trHeight w:hRule="exact" w:val="369"/>
        </w:trPr>
        <w:tc>
          <w:tcPr>
            <w:tcW w:w="19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ЛВС</w:t>
            </w:r>
          </w:p>
        </w:tc>
        <w:tc>
          <w:tcPr>
            <w:tcW w:w="756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15380" w:rsidRDefault="005F5CE0">
            <w:pPr>
              <w:suppressAutoHyphens/>
              <w:ind w:firstLine="169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Локальная вычислительная сеть</w:t>
            </w:r>
          </w:p>
        </w:tc>
      </w:tr>
    </w:tbl>
    <w:p w:rsidR="00E15380" w:rsidRDefault="00E15380">
      <w:pPr>
        <w:ind w:left="1831"/>
        <w:rPr>
          <w:rFonts w:ascii="Times New Roman" w:hAnsi="Times New Roman"/>
          <w:b/>
          <w:sz w:val="24"/>
          <w:szCs w:val="24"/>
        </w:rPr>
      </w:pPr>
    </w:p>
    <w:p w:rsidR="00E15380" w:rsidRDefault="00E15380">
      <w:pPr>
        <w:ind w:left="1831"/>
        <w:rPr>
          <w:rFonts w:ascii="Times New Roman" w:hAnsi="Times New Roman"/>
          <w:b/>
          <w:sz w:val="24"/>
          <w:szCs w:val="24"/>
        </w:rPr>
      </w:pPr>
    </w:p>
    <w:p w:rsidR="00E15380" w:rsidRDefault="00E15380">
      <w:pPr>
        <w:ind w:left="1831"/>
        <w:rPr>
          <w:rFonts w:ascii="Times New Roman" w:hAnsi="Times New Roman"/>
          <w:b/>
          <w:sz w:val="24"/>
          <w:szCs w:val="24"/>
        </w:rPr>
      </w:pPr>
    </w:p>
    <w:p w:rsidR="00E15380" w:rsidRDefault="005F5CE0">
      <w:pPr>
        <w:ind w:left="183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15380" w:rsidRDefault="005F5CE0">
      <w:pPr>
        <w:pStyle w:val="1"/>
        <w:rPr>
          <w:rFonts w:ascii="Times New Roman" w:hAnsi="Times New Roman"/>
          <w:szCs w:val="24"/>
        </w:rPr>
      </w:pPr>
      <w:bookmarkStart w:id="5" w:name="_Toc17206"/>
      <w:r>
        <w:rPr>
          <w:rFonts w:ascii="Times New Roman" w:hAnsi="Times New Roman"/>
          <w:szCs w:val="24"/>
        </w:rPr>
        <w:lastRenderedPageBreak/>
        <w:t>Описание требований к рабочей документации</w:t>
      </w:r>
      <w:bookmarkEnd w:id="5"/>
    </w:p>
    <w:p w:rsidR="00E15380" w:rsidRDefault="00E15380">
      <w:pPr>
        <w:ind w:left="1831"/>
        <w:rPr>
          <w:rFonts w:ascii="Times New Roman" w:hAnsi="Times New Roman"/>
          <w:b/>
          <w:sz w:val="24"/>
          <w:szCs w:val="24"/>
        </w:rPr>
      </w:pPr>
    </w:p>
    <w:p w:rsidR="00E15380" w:rsidRDefault="005F5CE0">
      <w:pPr>
        <w:pStyle w:val="23"/>
        <w:ind w:left="0" w:firstLine="397"/>
        <w:rPr>
          <w:sz w:val="24"/>
          <w:szCs w:val="24"/>
        </w:rPr>
      </w:pPr>
      <w:r>
        <w:rPr>
          <w:sz w:val="24"/>
          <w:szCs w:val="24"/>
        </w:rPr>
        <w:t>Проектирование выполняется в одну стадию. Разрабатывается комплект документации стадии «Р» на основании данного Технического задания.</w:t>
      </w:r>
    </w:p>
    <w:p w:rsidR="00E15380" w:rsidRDefault="005F5CE0">
      <w:pPr>
        <w:pStyle w:val="23"/>
        <w:ind w:left="0" w:firstLine="397"/>
        <w:rPr>
          <w:sz w:val="24"/>
          <w:szCs w:val="24"/>
        </w:rPr>
      </w:pPr>
      <w:r>
        <w:rPr>
          <w:sz w:val="24"/>
          <w:szCs w:val="24"/>
        </w:rPr>
        <w:t xml:space="preserve">Перед началом рабочего проектирования исполнитель выполняет </w:t>
      </w:r>
      <w:proofErr w:type="spellStart"/>
      <w:r>
        <w:rPr>
          <w:sz w:val="24"/>
          <w:szCs w:val="24"/>
        </w:rPr>
        <w:t>предпроектное</w:t>
      </w:r>
      <w:proofErr w:type="spellEnd"/>
      <w:r>
        <w:rPr>
          <w:sz w:val="24"/>
          <w:szCs w:val="24"/>
        </w:rPr>
        <w:t xml:space="preserve"> обследование.</w:t>
      </w:r>
    </w:p>
    <w:p w:rsidR="00E15380" w:rsidRDefault="005F5CE0">
      <w:pPr>
        <w:pStyle w:val="23"/>
        <w:ind w:left="0" w:firstLine="397"/>
        <w:rPr>
          <w:sz w:val="24"/>
          <w:szCs w:val="24"/>
        </w:rPr>
      </w:pPr>
      <w:r>
        <w:rPr>
          <w:sz w:val="24"/>
          <w:szCs w:val="24"/>
        </w:rPr>
        <w:t>Срок выполнения работ не более 60 рабочих дней.</w:t>
      </w:r>
    </w:p>
    <w:p w:rsidR="00E15380" w:rsidRDefault="005F5CE0">
      <w:pPr>
        <w:pStyle w:val="23"/>
        <w:ind w:left="0" w:firstLine="397"/>
        <w:rPr>
          <w:sz w:val="24"/>
          <w:szCs w:val="24"/>
        </w:rPr>
      </w:pPr>
      <w:r>
        <w:rPr>
          <w:sz w:val="24"/>
          <w:szCs w:val="24"/>
        </w:rPr>
        <w:t xml:space="preserve">Количество копий проектной документации – 3 (в том числе электронная версия в формате PDF, </w:t>
      </w:r>
      <w:r>
        <w:rPr>
          <w:sz w:val="24"/>
          <w:szCs w:val="24"/>
          <w:lang w:val="en-US"/>
        </w:rPr>
        <w:t>DOC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DWG</w:t>
      </w:r>
      <w:r>
        <w:rPr>
          <w:sz w:val="24"/>
          <w:szCs w:val="24"/>
        </w:rPr>
        <w:t>).</w:t>
      </w:r>
    </w:p>
    <w:p w:rsidR="00E15380" w:rsidRDefault="005F5CE0">
      <w:pPr>
        <w:pStyle w:val="23"/>
        <w:ind w:left="0" w:firstLine="397"/>
        <w:rPr>
          <w:sz w:val="24"/>
          <w:szCs w:val="24"/>
        </w:rPr>
      </w:pPr>
      <w:r>
        <w:rPr>
          <w:sz w:val="24"/>
          <w:szCs w:val="24"/>
        </w:rPr>
        <w:t>Состав рабочей документации: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общая пояснительная записка;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организации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строительства;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монтажные конструкции (фальшпол, конструкции изоляции горячего коридора, лотки, шкафы);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система электроснабжения</w:t>
      </w:r>
      <w:r w:rsidRPr="005F5CE0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бесперебойного</w:t>
      </w:r>
      <w:r w:rsidRPr="005F5CE0">
        <w:rPr>
          <w:rFonts w:ascii="Times New Roman" w:eastAsia="Times New Roman" w:hAnsi="Times New Roman"/>
          <w:sz w:val="24"/>
          <w:szCs w:val="24"/>
        </w:rPr>
        <w:t xml:space="preserve"> электропитания, </w:t>
      </w:r>
      <w:r>
        <w:rPr>
          <w:rFonts w:ascii="Times New Roman" w:eastAsia="Times New Roman" w:hAnsi="Times New Roman"/>
          <w:sz w:val="24"/>
          <w:szCs w:val="24"/>
        </w:rPr>
        <w:t>освещения</w:t>
      </w:r>
      <w:r w:rsidRPr="005F5CE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система заземления и выравнивания потенциалов (выполняется силами Заказчика</w:t>
      </w:r>
      <w:r w:rsidRPr="005F5CE0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система кондиционирования и вентиляции;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системы безопасности;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система автоматического газового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пожаротушения</w:t>
      </w:r>
      <w:r w:rsidRPr="005F5CE0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 w:rsidRPr="005F5CE0">
        <w:rPr>
          <w:rFonts w:ascii="Times New Roman" w:eastAsia="Times New Roman" w:hAnsi="Times New Roman"/>
          <w:sz w:val="24"/>
          <w:szCs w:val="24"/>
        </w:rPr>
        <w:t xml:space="preserve">выполняется силами </w:t>
      </w:r>
      <w:r>
        <w:rPr>
          <w:rFonts w:ascii="Times New Roman" w:eastAsia="Times New Roman" w:hAnsi="Times New Roman"/>
          <w:sz w:val="24"/>
          <w:szCs w:val="24"/>
        </w:rPr>
        <w:t>Заказчика</w:t>
      </w:r>
      <w:r w:rsidRPr="005F5CE0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структурированная кабельная система;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система управления и интерактивного контроля инженерных систем</w:t>
      </w:r>
      <w:r w:rsidRPr="005F5CE0">
        <w:rPr>
          <w:rFonts w:ascii="Times New Roman" w:eastAsia="Times New Roman" w:hAnsi="Times New Roman"/>
          <w:sz w:val="24"/>
          <w:szCs w:val="24"/>
        </w:rPr>
        <w:t>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и методика испытаний системы электроснабжения</w:t>
      </w:r>
      <w:r w:rsidRPr="005F5CE0">
        <w:rPr>
          <w:rFonts w:ascii="Times New Roman" w:eastAsia="Times New Roman" w:hAnsi="Times New Roman"/>
          <w:sz w:val="24"/>
          <w:szCs w:val="24"/>
        </w:rPr>
        <w:t xml:space="preserve"> (выполняется силами </w:t>
      </w:r>
      <w:r>
        <w:rPr>
          <w:rFonts w:ascii="Times New Roman" w:eastAsia="Times New Roman" w:hAnsi="Times New Roman"/>
          <w:sz w:val="24"/>
          <w:szCs w:val="24"/>
        </w:rPr>
        <w:t>Заказчика</w:t>
      </w:r>
      <w:r w:rsidRPr="005F5CE0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и методика испытаний системы вентиляции и кондиционирования;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и методика испытаний систем безопасности;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и методика испытаний системы пожаротушения;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комплексная программа и методика испытаний;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частное техническое задание на строительную подготовку помещения ЦОД;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частное техническое задание на организацию подвода электропитания и заземления</w:t>
      </w:r>
      <w:r w:rsidRPr="005F5CE0">
        <w:rPr>
          <w:rFonts w:ascii="Times New Roman" w:eastAsia="Times New Roman" w:hAnsi="Times New Roman"/>
          <w:sz w:val="24"/>
          <w:szCs w:val="24"/>
        </w:rPr>
        <w:t xml:space="preserve"> (выполняется силами </w:t>
      </w:r>
      <w:r>
        <w:rPr>
          <w:rFonts w:ascii="Times New Roman" w:eastAsia="Times New Roman" w:hAnsi="Times New Roman"/>
          <w:sz w:val="24"/>
          <w:szCs w:val="24"/>
        </w:rPr>
        <w:t>Заказчика</w:t>
      </w:r>
      <w:r w:rsidRPr="005F5CE0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частное техническое задание на подвод внешних линий связи, линий связи и алгоритма взаимодействия систем безопасности предприятия и ЦОД</w:t>
      </w:r>
      <w:r w:rsidRPr="005F5CE0">
        <w:rPr>
          <w:rFonts w:ascii="Times New Roman" w:eastAsia="Times New Roman" w:hAnsi="Times New Roman"/>
          <w:sz w:val="24"/>
          <w:szCs w:val="24"/>
        </w:rPr>
        <w:t>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сметная документация</w:t>
      </w:r>
      <w:r>
        <w:rPr>
          <w:rFonts w:ascii="Times New Roman" w:hAnsi="Times New Roman"/>
          <w:sz w:val="24"/>
          <w:szCs w:val="24"/>
        </w:rPr>
        <w:t>.</w:t>
      </w:r>
    </w:p>
    <w:p w:rsidR="00E15380" w:rsidRDefault="005F5CE0">
      <w:pPr>
        <w:pStyle w:val="23"/>
        <w:ind w:left="0" w:firstLine="360"/>
        <w:rPr>
          <w:sz w:val="24"/>
          <w:szCs w:val="24"/>
        </w:rPr>
      </w:pPr>
      <w:r>
        <w:rPr>
          <w:sz w:val="24"/>
          <w:szCs w:val="24"/>
        </w:rPr>
        <w:t>Каждый том рабочей документации должен содержать следующие взаимоувязанные документы по каждой системе и/или подсистеме: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структурные</w:t>
      </w:r>
      <w:r w:rsidRPr="005F5CE0">
        <w:rPr>
          <w:rFonts w:ascii="Times New Roman" w:eastAsia="Times New Roman" w:hAnsi="Times New Roman"/>
          <w:sz w:val="24"/>
          <w:szCs w:val="24"/>
        </w:rPr>
        <w:t>, однолинейные</w:t>
      </w:r>
      <w:r>
        <w:rPr>
          <w:rFonts w:ascii="Times New Roman" w:eastAsia="Times New Roman" w:hAnsi="Times New Roman"/>
          <w:sz w:val="24"/>
          <w:szCs w:val="24"/>
        </w:rPr>
        <w:t xml:space="preserve"> и принципиальные схемы;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технические решения и схемы</w:t>
      </w:r>
      <w:r w:rsidRPr="005F5CE0">
        <w:rPr>
          <w:rFonts w:ascii="Times New Roman" w:eastAsia="Times New Roman" w:hAnsi="Times New Roman"/>
          <w:sz w:val="24"/>
          <w:szCs w:val="24"/>
        </w:rPr>
        <w:t>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планы помещений с расстановкой оборудования;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разрезы;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кабельные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журналы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спецификации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E15380" w:rsidRDefault="005F5CE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документация согласовывается с Заказчиком.</w:t>
      </w:r>
    </w:p>
    <w:p w:rsidR="00E15380" w:rsidRDefault="00E15380">
      <w:pPr>
        <w:ind w:left="1831"/>
        <w:rPr>
          <w:rFonts w:ascii="Times New Roman" w:hAnsi="Times New Roman"/>
          <w:b/>
          <w:sz w:val="24"/>
          <w:szCs w:val="24"/>
        </w:rPr>
      </w:pPr>
    </w:p>
    <w:p w:rsidR="00E15380" w:rsidRDefault="005F5CE0">
      <w:pPr>
        <w:ind w:left="183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15380" w:rsidRDefault="005F5CE0">
      <w:pPr>
        <w:pStyle w:val="1"/>
        <w:rPr>
          <w:rFonts w:ascii="Times New Roman" w:hAnsi="Times New Roman"/>
          <w:szCs w:val="24"/>
        </w:rPr>
      </w:pPr>
      <w:bookmarkStart w:id="6" w:name="_Toc12993"/>
      <w:r>
        <w:rPr>
          <w:rFonts w:ascii="Times New Roman" w:hAnsi="Times New Roman"/>
          <w:szCs w:val="24"/>
        </w:rPr>
        <w:lastRenderedPageBreak/>
        <w:t>Используемые нормативные документы</w:t>
      </w:r>
      <w:bookmarkEnd w:id="6"/>
    </w:p>
    <w:p w:rsidR="00E15380" w:rsidRDefault="00E15380">
      <w:pPr>
        <w:ind w:left="1831"/>
        <w:rPr>
          <w:rFonts w:ascii="Times New Roman" w:hAnsi="Times New Roman"/>
          <w:b/>
          <w:sz w:val="24"/>
          <w:szCs w:val="24"/>
        </w:rPr>
      </w:pPr>
    </w:p>
    <w:p w:rsidR="00E15380" w:rsidRDefault="005F5CE0">
      <w:pPr>
        <w:ind w:firstLine="391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Рабочий проект и </w:t>
      </w:r>
      <w:proofErr w:type="spellStart"/>
      <w:r>
        <w:rPr>
          <w:rFonts w:ascii="Times New Roman" w:hAnsi="Times New Roman"/>
          <w:sz w:val="24"/>
          <w:szCs w:val="24"/>
        </w:rPr>
        <w:t>схемо</w:t>
      </w:r>
      <w:proofErr w:type="spellEnd"/>
      <w:r>
        <w:rPr>
          <w:rFonts w:ascii="Times New Roman" w:hAnsi="Times New Roman"/>
          <w:sz w:val="24"/>
          <w:szCs w:val="24"/>
        </w:rPr>
        <w:t>-компоновочные решения, входящие в него, выполняются в соответствии с требованиями следующих российских и иностранных нормативных документов: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СНиП 10-01-2003</w:t>
      </w:r>
      <w:r w:rsidRPr="005F5CE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Система нормативных документов в строительстве. Основные положения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СНиП 31-06-2009</w:t>
      </w:r>
      <w:r w:rsidRPr="005F5CE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«Общественные здания и сооружения»</w:t>
      </w:r>
      <w:r w:rsidRPr="005F5CE0">
        <w:rPr>
          <w:rFonts w:ascii="Times New Roman" w:eastAsia="Times New Roman" w:hAnsi="Times New Roman"/>
          <w:sz w:val="24"/>
          <w:szCs w:val="24"/>
        </w:rPr>
        <w:t>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СНиП 2.09.04-87. Административные и бытовые здания;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СНиП 21-01-97. Пожарная безопасность зданий и сооружений;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 52.13330.2016</w:t>
      </w:r>
      <w:r w:rsidRPr="005F5CE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Естественное и искусственное освещение;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 76.13330.2016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"Электротехнические устройства"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СНиП 23-03-2003. Защита от шума;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СНиП 23-01-99</w:t>
      </w:r>
      <w:r w:rsidRPr="005F5CE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(с изменениями от 24 декабря 2002г.). Строительная климатология;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СНиП 41-01-2003. Отопление, вентиляция и кондиционирование;</w:t>
      </w:r>
    </w:p>
    <w:p w:rsidR="00E15380" w:rsidRDefault="00886C7A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hyperlink r:id="rId7" w:history="1">
        <w:r w:rsidR="005F5CE0">
          <w:rPr>
            <w:rFonts w:ascii="Times New Roman" w:eastAsia="Times New Roman" w:hAnsi="Times New Roman"/>
            <w:sz w:val="24"/>
            <w:szCs w:val="24"/>
          </w:rPr>
          <w:t>СП 73.13330.2016</w:t>
        </w:r>
        <w:r w:rsidR="005F5CE0" w:rsidRPr="005F5CE0">
          <w:rPr>
            <w:rFonts w:ascii="Times New Roman" w:eastAsia="Times New Roman" w:hAnsi="Times New Roman"/>
            <w:sz w:val="24"/>
            <w:szCs w:val="24"/>
          </w:rPr>
          <w:t>.</w:t>
        </w:r>
        <w:r w:rsidR="005F5CE0">
          <w:rPr>
            <w:rFonts w:ascii="Times New Roman" w:eastAsia="Times New Roman" w:hAnsi="Times New Roman"/>
            <w:sz w:val="24"/>
            <w:szCs w:val="24"/>
          </w:rPr>
          <w:t xml:space="preserve"> «СНиП 3.05.01-85 Внутренние санитарно-технические системы зданий»</w:t>
        </w:r>
      </w:hyperlink>
      <w:r w:rsidR="005F5CE0">
        <w:rPr>
          <w:rFonts w:ascii="Times New Roman" w:eastAsia="Times New Roman" w:hAnsi="Times New Roman"/>
          <w:sz w:val="24"/>
          <w:szCs w:val="24"/>
        </w:rPr>
        <w:t>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СНиП 12-03-2001</w:t>
      </w:r>
      <w:r w:rsidRPr="005F5CE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 Безопасность труда в строительстве. Часть 1. Общие требования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fldChar w:fldCharType="begin"/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instrText xml:space="preserve"> HYPERLINK "http://www.normacs.ru/Doclist/doc/190H.html" </w:instrText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fldChar w:fldCharType="separate"/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СНиП 12-01-2004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Организация строительства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 w:eastAsia="zh-CN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>НПБ 88-2001*</w:t>
      </w:r>
      <w:r w:rsidRPr="005F5CE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Установки пожаротушения и сигнализации. Нормы и правила проектирования (с Изменением N 1);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 31-110-2003. Проектирование и монтаж электроустановок жилых и общественных зданий;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 31-110-2003</w:t>
      </w:r>
      <w:r w:rsidRPr="005F5CE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Проектирование и монтаж электроустановок жилых и общественных зданий;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ВСН 60-89. Устройства связи, сигнализации и диспетчеризации инженерного оборудования жилых и общественных зданий. Нормы проектирования;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ВСН 25-09.67-85</w:t>
      </w:r>
      <w:r w:rsidRPr="005F5CE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«Правила производства и приемки работ. Автоматические установки пожаротушения»;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НПБ 51-96</w:t>
      </w:r>
      <w:r w:rsidRPr="005F5CE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(с изменением, утвержденным приказом ГУГПС МВД России от 12.05.1997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г.)«</w:t>
      </w:r>
      <w:proofErr w:type="gramEnd"/>
      <w:r>
        <w:rPr>
          <w:rFonts w:ascii="Times New Roman" w:eastAsia="Times New Roman" w:hAnsi="Times New Roman"/>
          <w:sz w:val="24"/>
          <w:szCs w:val="24"/>
        </w:rPr>
        <w:t>Составы газовые огнетушащие. Общие технические требования пожарной безопасности и методы испытаний»;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НПБ 54-2001. Установки газового пожаротушения автоматические. Модули и батареи. Общие технические требования. Методы испытаний;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НПБ 88-01. Установки пожаротушения и сигнализации. Нормы и правила проектирования;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НПБ 110-03</w:t>
      </w:r>
      <w:r w:rsidRPr="005F5CE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НПБ 104-03. Системы оповещения и управления эвакуацией людей при пожарах в зданиях и сооружениях;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НПБ 105-03. Определение категорий помещений, зданий и наружных установок по взрывопожарной и пожарной опасности;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ГОСТ Р 21.1101-2013</w:t>
      </w:r>
      <w:r w:rsidRPr="005F5CE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Система проектной документации для строительства. Основные требования к проектной и рабочей документации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ГОСТ 34.602-89. Комплекс стандартов на автоматизированные системы. Техническое задание на создание автоматизированной системы;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ГОСТ Р 50969-96</w:t>
      </w:r>
      <w:r w:rsidRPr="005F5CE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«Установки газового пожаротушения автоматические. Общие технические требования. Методы испытаний»;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ГОСТ 12.1.004-91</w:t>
      </w:r>
      <w:r w:rsidRPr="005F5CE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Система стандартов безопасности труда (ССБТ). Пожарная безопасность. Общие требования (с Изменением N 1);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ГОСТ 12.3.046-91</w:t>
      </w:r>
      <w:r w:rsidRPr="005F5CE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«Установки пожаротушения автоматические. Общие технические требования»;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ГОСТ 12.4.009-83</w:t>
      </w:r>
      <w:r w:rsidRPr="00886C7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«ССБТ. Пожарная техника для защиты объектов. Основные виды. Размещение и обслуживание»;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ГОСТ32144</w:t>
      </w:r>
      <w:r w:rsidRPr="005F5CE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― 2013. НОРМЫ КАЧЕСТВА ЭЛЕКТРИЧЕСКОЙ ЭНЕРГИИ В СИСТЕМАХ ЭЛЕКТРОСНАБЖЕНИЯ ОБЩЕГО НАЗНАЧЕНИЯ;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ГОСТ Р 51317.6.5-2006</w:t>
      </w:r>
      <w:r w:rsidRPr="005F5CE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Совместимость технических средств электромагнитная. Устойчивость к электромагнитным помехам технических средств, применяемых на электростанциях и подстанциях. Требования и методы испытаний;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ГОСТ 12.2.007.0-75</w:t>
      </w:r>
      <w:r w:rsidRPr="005F5CE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ССБТ. Изделия электротехнические. Общие требования безопасности;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ГОСТ 24.104-85</w:t>
      </w:r>
      <w:r w:rsidRPr="005F5CE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Единая система стандартов автоматизированных систем управления. Автоматизированные системы управления. Общие требования;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ГОСТ 34.003-90</w:t>
      </w:r>
      <w:r w:rsidRPr="005F5CE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Информационные технологии. Комплекс стандартов на автоматизированные системы. Автоматизированные системы. Термины и определения;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ГОСТ 34.201-89</w:t>
      </w:r>
      <w:r w:rsidRPr="005F5CE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Виды, комплектность и обозначение документов при создании автоматизированных систем;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ГОСТ Р МЭК 61508-4-2012</w:t>
      </w:r>
      <w:r w:rsidRPr="005F5CE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Функциональная безопасность систем электрических, электронных, программируемых электронных связанных с безопасностью. Часть 4. Термины и определения;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ГОСТ Р 50571.21-2000. Электроустановки зданий. Часть 5. Выбор и монтаж электрооборудования. Раздел 548. Заземляющие устройства и системы уравнивания электрических потенциалов в электроустановках, содержащих оборудование обработки информации;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ГОСТ Р 50571.22-2000. Электроустановки зданий. Часть 7. Требования к специальным электроустановкам. Раздел 707 Заземление оборудования обработки информации;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Постановление Правительства РФ от 25.04.2012 N 390 О противопожарном режиме;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ПЭЭП. Правила эксплуатации электроустановок потребителей от 13-01-2003;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 50-102-2003. Проектирование и устройство свайных фундаментов; (утверждён постановлением Госстроя России от</w:t>
      </w:r>
      <w:r w:rsidRPr="005F5CE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21.06.2003 г. № 96)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 52-101-2003. Бетонные и железобетонные конструкции без</w:t>
      </w:r>
      <w:r w:rsidRPr="005F5CE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предварительного напряжения арматуры» - утвержден</w:t>
      </w:r>
      <w:r w:rsidRPr="005F5CE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постановлением Госстроя России от 25.12.2003 г. № 215.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ВНП-001-01</w:t>
      </w:r>
      <w:r w:rsidRPr="005F5CE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Банк России «Здания территориальных главных управлений, национальных банков и расчетно-кассовых центров Центрального банка Российской Федерации»;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ПУЭ (изд. 6-е и 7-е)</w:t>
      </w:r>
      <w:r w:rsidRPr="005F5CE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«Правила устройства электроустановок»;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РД 25.953-90</w:t>
      </w:r>
      <w:r w:rsidRPr="005F5CE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«Системы автоматические пожаротушения, пожарной, охранной и охранно-пожарной сигнализации. Обозначения условные графические элементов связи»;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РД 78.145-93</w:t>
      </w:r>
      <w:r w:rsidRPr="005F5CE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«Системы и комплексы охранной, пожарной и охранно-пожарной сигнализации. Правила производства и приемки работ»;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ОСТ 4.000.028-84. Электромонтаж комплексов электросвязи, проектная документация на электромонтажные работы.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ОСТ 4.093.010-87. Электромонтаж комплексов электросвязи. Организация, проведение и сдача монтажных работ. Общие требования;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ОСТН-600-93. Отраслевые строительно-технологические нормы на монтаж сооружений и устройств связи, радиовещания и телевидения;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СНиП 2.04.01-85*</w:t>
      </w:r>
      <w:r w:rsidRPr="005F5CE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Внутренний водопровод и канализация зданий;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СТО 02494733 5.2-01-2006. Внутренний водопровод и канализация зданий.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ANSI TIA/EIA-942. Telecommunications Infrastructure Standard for Data Centers;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ANSI/TIA/EIA-568-B.1. Commercial Building Telecommunications Cabling Standard; Part 1 General Requirements;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ANSI/TIA/EIA-568-B.2. Commercial Building Telecommunications Cabling Standard; Part 2 Balanced Twisted-Pair Cabling Components;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ANSI/TIA/EIA-568-B.3. Optical Fiber Cabling Components Standard;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ANSI/TIA-569-B. Commercial Building Standard for Telecommunications Pathways and Spaces;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ANSI/TIA/EIA-606-A. Administration Standard for Commercial Telecommunications Infrastructure;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ANSI/TIA/EIA-J-STD-607. </w:t>
      </w:r>
      <w:r>
        <w:rPr>
          <w:rFonts w:ascii="Times New Roman" w:eastAsia="Times New Roman" w:hAnsi="Times New Roman"/>
          <w:sz w:val="24"/>
          <w:szCs w:val="24"/>
          <w:lang w:val="en-US"/>
        </w:rPr>
        <w:t>Commercial Building Grounding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Earthing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) and Bonding Requirements for Telecommunications; 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ANSI/TIA-758-A. Customer-Owned Outside Plant Telecommunications Cabling Standard</w:t>
      </w:r>
    </w:p>
    <w:p w:rsidR="00E15380" w:rsidRDefault="005F5CE0">
      <w:pPr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Проект должен быть разработан в соответствии с действующими нормами и правилами по проектированию и строительству центров обработки данных, а также нормами и </w:t>
      </w:r>
      <w:proofErr w:type="gramStart"/>
      <w:r>
        <w:rPr>
          <w:rFonts w:ascii="Times New Roman" w:eastAsia="Batang" w:hAnsi="Times New Roman"/>
          <w:sz w:val="24"/>
          <w:szCs w:val="24"/>
        </w:rPr>
        <w:t>правилами  пожарной</w:t>
      </w:r>
      <w:proofErr w:type="gramEnd"/>
      <w:r>
        <w:rPr>
          <w:rFonts w:ascii="Times New Roman" w:eastAsia="Batang" w:hAnsi="Times New Roman"/>
          <w:sz w:val="24"/>
          <w:szCs w:val="24"/>
        </w:rPr>
        <w:t xml:space="preserve"> безопасности.</w:t>
      </w:r>
    </w:p>
    <w:p w:rsidR="00E15380" w:rsidRDefault="00E15380">
      <w:pPr>
        <w:ind w:firstLine="426"/>
        <w:rPr>
          <w:rFonts w:ascii="Times New Roman" w:hAnsi="Times New Roman"/>
          <w:b/>
          <w:sz w:val="24"/>
          <w:szCs w:val="24"/>
        </w:rPr>
      </w:pPr>
    </w:p>
    <w:p w:rsidR="00E15380" w:rsidRDefault="005F5CE0">
      <w:pPr>
        <w:pStyle w:val="1"/>
        <w:rPr>
          <w:rFonts w:ascii="Times New Roman" w:hAnsi="Times New Roman"/>
          <w:szCs w:val="24"/>
        </w:rPr>
      </w:pPr>
      <w:bookmarkStart w:id="7" w:name="_Toc31897"/>
      <w:r>
        <w:rPr>
          <w:rFonts w:ascii="Times New Roman" w:hAnsi="Times New Roman"/>
          <w:szCs w:val="24"/>
        </w:rPr>
        <w:t>Описание требований к проектным решениям</w:t>
      </w:r>
      <w:bookmarkEnd w:id="7"/>
    </w:p>
    <w:p w:rsidR="00E15380" w:rsidRDefault="00E15380">
      <w:pPr>
        <w:pStyle w:val="1"/>
        <w:numPr>
          <w:ilvl w:val="0"/>
          <w:numId w:val="0"/>
        </w:numPr>
        <w:ind w:left="1416"/>
        <w:rPr>
          <w:rFonts w:ascii="Times New Roman" w:hAnsi="Times New Roman"/>
          <w:szCs w:val="24"/>
        </w:rPr>
      </w:pPr>
    </w:p>
    <w:p w:rsidR="00E15380" w:rsidRDefault="005F5CE0">
      <w:pPr>
        <w:pStyle w:val="2"/>
        <w:spacing w:before="120" w:after="120"/>
        <w:rPr>
          <w:szCs w:val="24"/>
        </w:rPr>
      </w:pPr>
      <w:r>
        <w:rPr>
          <w:szCs w:val="24"/>
        </w:rPr>
        <w:t>Общая пояснительная записка</w:t>
      </w:r>
    </w:p>
    <w:p w:rsidR="00E15380" w:rsidRPr="005F5CE0" w:rsidRDefault="005F5CE0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274" w:lineRule="exact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раздел должен содержать описание основных решений рабочего проекта,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r w:rsidRPr="005F5CE0">
        <w:rPr>
          <w:rFonts w:ascii="Times New Roman" w:hAnsi="Times New Roman"/>
          <w:sz w:val="24"/>
          <w:szCs w:val="24"/>
        </w:rPr>
        <w:t>описание и обоснование технических решений, основных характеристик оборудования, жизненного цикла ЦОД;</w:t>
      </w:r>
    </w:p>
    <w:p w:rsidR="00E15380" w:rsidRDefault="005F5CE0">
      <w:pPr>
        <w:pStyle w:val="2"/>
        <w:spacing w:before="120" w:after="120"/>
        <w:rPr>
          <w:szCs w:val="24"/>
          <w:lang w:val="en-US"/>
        </w:rPr>
      </w:pPr>
      <w:r>
        <w:rPr>
          <w:szCs w:val="24"/>
        </w:rPr>
        <w:t>Проект организации строительства ЦОД</w:t>
      </w:r>
    </w:p>
    <w:p w:rsidR="00E15380" w:rsidRDefault="005F5CE0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274" w:lineRule="exact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раздел состоит из следующих элементов.</w:t>
      </w:r>
    </w:p>
    <w:p w:rsidR="00E15380" w:rsidRDefault="005F5CE0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274" w:lineRule="exact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Календарный план строительства, в котором определяются сроки и очерёдность строительства основных и </w:t>
      </w:r>
      <w:proofErr w:type="gramStart"/>
      <w:r>
        <w:rPr>
          <w:rFonts w:ascii="Times New Roman" w:hAnsi="Times New Roman"/>
          <w:sz w:val="24"/>
          <w:szCs w:val="24"/>
        </w:rPr>
        <w:t>вспомогательных технологических узлов</w:t>
      </w:r>
      <w:proofErr w:type="gramEnd"/>
      <w:r>
        <w:rPr>
          <w:rFonts w:ascii="Times New Roman" w:hAnsi="Times New Roman"/>
          <w:sz w:val="24"/>
          <w:szCs w:val="24"/>
        </w:rPr>
        <w:t xml:space="preserve"> и этапов, с распределением объёмов строительно-монтажных работ по периодам строительства.</w:t>
      </w:r>
    </w:p>
    <w:p w:rsidR="00E15380" w:rsidRDefault="005F5CE0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274" w:lineRule="exact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план на подготовительный период составляется отдельно (с распределением объёмов по месяцам).</w:t>
      </w:r>
    </w:p>
    <w:p w:rsidR="00E15380" w:rsidRDefault="005F5CE0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274" w:lineRule="exact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записка, содержащая: характеристику условий и сложности строительства; обоснование методов производства и возможность совмещения строительных, монтажных и специальных строительных работ; мероприятия по охране труда в соответствии с действующими нормативными актами; условия сохранения окружающей природы; обоснование размеров и оснащения площадок для складирования материалов, конструкций и оборудования; обоснование принятой продолжительности строительства.</w:t>
      </w:r>
    </w:p>
    <w:p w:rsidR="00E15380" w:rsidRDefault="005F5CE0">
      <w:pPr>
        <w:pStyle w:val="2"/>
        <w:spacing w:before="120" w:after="120"/>
        <w:rPr>
          <w:szCs w:val="24"/>
        </w:rPr>
      </w:pPr>
      <w:r>
        <w:rPr>
          <w:szCs w:val="24"/>
        </w:rPr>
        <w:t>Монтажные конструкции</w:t>
      </w:r>
    </w:p>
    <w:p w:rsidR="00E15380" w:rsidRPr="005F5CE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раздел должен включать в себя графическую и расчётную части по монтажным</w:t>
      </w:r>
      <w:r w:rsidRPr="005F5CE0">
        <w:rPr>
          <w:rFonts w:ascii="Times New Roman" w:hAnsi="Times New Roman"/>
          <w:sz w:val="24"/>
          <w:szCs w:val="24"/>
        </w:rPr>
        <w:t xml:space="preserve"> конструкциям необходимых для размещения оборудования и </w:t>
      </w:r>
      <w:proofErr w:type="gramStart"/>
      <w:r w:rsidRPr="005F5CE0">
        <w:rPr>
          <w:rFonts w:ascii="Times New Roman" w:hAnsi="Times New Roman"/>
          <w:sz w:val="24"/>
          <w:szCs w:val="24"/>
        </w:rPr>
        <w:t>коммуникаций</w:t>
      </w:r>
      <w:proofErr w:type="gramEnd"/>
      <w:r w:rsidRPr="005F5CE0">
        <w:rPr>
          <w:rFonts w:ascii="Times New Roman" w:hAnsi="Times New Roman"/>
          <w:sz w:val="24"/>
          <w:szCs w:val="24"/>
        </w:rPr>
        <w:t xml:space="preserve"> обеспечивающих функционирование инженерной инфраструктуры и ИТ-потребителей ЦОД. </w:t>
      </w:r>
    </w:p>
    <w:p w:rsidR="00E15380" w:rsidRPr="005F5CE0" w:rsidRDefault="005F5CE0">
      <w:pPr>
        <w:ind w:firstLine="426"/>
        <w:rPr>
          <w:rFonts w:ascii="Times New Roman" w:hAnsi="Times New Roman"/>
          <w:sz w:val="24"/>
          <w:szCs w:val="24"/>
        </w:rPr>
      </w:pPr>
      <w:r w:rsidRPr="005F5CE0">
        <w:rPr>
          <w:rFonts w:ascii="Times New Roman" w:hAnsi="Times New Roman"/>
          <w:sz w:val="24"/>
          <w:szCs w:val="24"/>
        </w:rPr>
        <w:t xml:space="preserve">Монтажные конструкции состоят из следующих компонентов: </w:t>
      </w:r>
      <w:r>
        <w:rPr>
          <w:rFonts w:ascii="Times New Roman" w:hAnsi="Times New Roman"/>
          <w:sz w:val="24"/>
          <w:szCs w:val="24"/>
        </w:rPr>
        <w:t>фальшпол, конструкции изоляции горячего коридора, лотки</w:t>
      </w:r>
      <w:r w:rsidRPr="005F5CE0">
        <w:rPr>
          <w:rFonts w:ascii="Times New Roman" w:hAnsi="Times New Roman"/>
          <w:sz w:val="24"/>
          <w:szCs w:val="24"/>
        </w:rPr>
        <w:t>, короба</w:t>
      </w:r>
      <w:r>
        <w:rPr>
          <w:rFonts w:ascii="Times New Roman" w:hAnsi="Times New Roman"/>
          <w:sz w:val="24"/>
          <w:szCs w:val="24"/>
        </w:rPr>
        <w:t>, ИТ</w:t>
      </w:r>
      <w:r w:rsidRPr="005F5CE0">
        <w:rPr>
          <w:rFonts w:ascii="Times New Roman" w:hAnsi="Times New Roman"/>
          <w:sz w:val="24"/>
          <w:szCs w:val="24"/>
        </w:rPr>
        <w:t>-шкафы.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Предусмотреть в помещении машинного зала установку не менее 7-ми стоек для серверного оборудования шириной 600мм, глубиной не менее 1000мм и высотой 42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5F5C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одного кроссового шкафа шириной 800мм. </w:t>
      </w:r>
    </w:p>
    <w:p w:rsidR="00E15380" w:rsidRDefault="00E15380">
      <w:pPr>
        <w:rPr>
          <w:rFonts w:ascii="Times New Roman" w:hAnsi="Times New Roman"/>
          <w:sz w:val="24"/>
          <w:szCs w:val="24"/>
        </w:rPr>
      </w:pPr>
    </w:p>
    <w:p w:rsidR="00E15380" w:rsidRDefault="005F5CE0">
      <w:pPr>
        <w:pStyle w:val="2"/>
        <w:spacing w:before="120" w:after="120"/>
        <w:rPr>
          <w:szCs w:val="24"/>
        </w:rPr>
      </w:pPr>
      <w:r>
        <w:rPr>
          <w:szCs w:val="24"/>
        </w:rPr>
        <w:t>Система прецизионного охлаждения</w:t>
      </w:r>
    </w:p>
    <w:p w:rsidR="00E15380" w:rsidRDefault="005F5CE0">
      <w:pPr>
        <w:pStyle w:val="10"/>
        <w:spacing w:before="120" w:after="120"/>
        <w:ind w:leftChars="5" w:left="10" w:firstLineChars="161" w:firstLine="386"/>
        <w:rPr>
          <w:i w:val="0"/>
          <w:iCs/>
          <w:szCs w:val="24"/>
        </w:rPr>
      </w:pPr>
      <w:r>
        <w:rPr>
          <w:i w:val="0"/>
          <w:iCs/>
          <w:szCs w:val="24"/>
        </w:rPr>
        <w:t>Система охлаждения должна предусматривать: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охлаждение ЦОД осуществлять при помощи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прецизионных шкафных кондиционеров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работающих в группе</w:t>
      </w:r>
      <w:r w:rsidRPr="005F5CE0">
        <w:rPr>
          <w:rFonts w:ascii="Times New Roman" w:eastAsia="Times New Roman" w:hAnsi="Times New Roman"/>
          <w:sz w:val="24"/>
          <w:szCs w:val="24"/>
        </w:rPr>
        <w:t>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системы кондиционирования должна осуществляться в режиме 24х7х365;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отсутствие оборудования системы охлаждения в машинном зале и помещении ИБП, за исключением шкафных блоков кондиционеров;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резервирование системы охлаждения </w:t>
      </w:r>
      <w:r>
        <w:rPr>
          <w:rFonts w:ascii="Times New Roman" w:eastAsia="Times New Roman" w:hAnsi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/>
          <w:sz w:val="24"/>
          <w:szCs w:val="24"/>
        </w:rPr>
        <w:t>+1;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передачу параметров работы системы в систему мониторинга.</w:t>
      </w:r>
    </w:p>
    <w:p w:rsidR="00E15380" w:rsidRDefault="005F5CE0">
      <w:pPr>
        <w:pStyle w:val="10"/>
        <w:spacing w:before="120" w:after="120"/>
        <w:ind w:leftChars="5" w:left="10" w:firstLineChars="161" w:firstLine="386"/>
        <w:rPr>
          <w:i w:val="0"/>
          <w:iCs/>
          <w:szCs w:val="24"/>
        </w:rPr>
      </w:pPr>
      <w:r>
        <w:rPr>
          <w:i w:val="0"/>
          <w:iCs/>
          <w:szCs w:val="24"/>
        </w:rPr>
        <w:t>Основные характеристики системы охлаждения: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резервируемая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хладопроизводительность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не менее 20кВт не более 50 кВт;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температура воздуха в серверном зале в холодном коридоре на фасаде стоек с оборудованием должна быть в пределах +22 </w:t>
      </w:r>
      <w:r>
        <w:rPr>
          <w:rFonts w:ascii="Times New Roman" w:eastAsia="Times New Roman" w:hAnsi="Times New Roman"/>
          <w:sz w:val="24"/>
          <w:szCs w:val="24"/>
        </w:rPr>
        <w:sym w:font="Symbol" w:char="00B1"/>
      </w:r>
      <w:r>
        <w:rPr>
          <w:rFonts w:ascii="Times New Roman" w:eastAsia="Times New Roman" w:hAnsi="Times New Roman"/>
          <w:sz w:val="24"/>
          <w:szCs w:val="24"/>
        </w:rPr>
        <w:t xml:space="preserve"> 2 °С (на высоте 1.5 м от уровня фальшпола);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относительная влажность воздуха в холодном коридоре от 20 до 80%;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максимальный Температурный дрейф в холодном коридоре 3 градуса в час;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степень запылённости воздуха в помещениях ЦОД не должна превышать 0.75 мг/м3 с размерами частиц не более 3 мкм;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резервируемая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хладопроизводительность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ИТ-нагрузки с учётом тепловыделений инженерной инфраструктуры.</w:t>
      </w:r>
    </w:p>
    <w:p w:rsidR="00E15380" w:rsidRDefault="005F5CE0">
      <w:pPr>
        <w:pStyle w:val="2"/>
        <w:spacing w:before="120" w:after="120"/>
        <w:rPr>
          <w:szCs w:val="24"/>
        </w:rPr>
      </w:pPr>
      <w:r>
        <w:rPr>
          <w:szCs w:val="24"/>
        </w:rPr>
        <w:t xml:space="preserve">Система вентиляции 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вентиляции должна предусматривать: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работу вентиляции в трёх режимах: подпор воздуха, вентиляция при работе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персонала,  режим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газо-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дымоудаления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подготовку приточного воздуха до заданных параметров внутреннего микроклимата,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предусмотреть электрический подогрев подаваемого воздуха в холодный период года и 2-х ступенчатую фильтрацию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приточного воздуха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подаваемого с улицы;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решения по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обеспыливанию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внутреннего воздуха ЦОД;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наличие противопожарных клапанов;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систему удаления огнегасящих газов;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избыточное давление в гермозоне (машинный зал);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воздуховоды приточно-вытяжной вентиляции и системы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газодымоудаления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выводятся из ЦОД на фасад здания;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решения по автоматизации (автоматическое отключение приточной системы в случае возникновения пожара, смена режима работы и т.п.);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передачу параметров работы системы в систему мониторинга.</w:t>
      </w:r>
    </w:p>
    <w:p w:rsidR="00E15380" w:rsidRDefault="005F5CE0">
      <w:pPr>
        <w:pStyle w:val="2"/>
        <w:spacing w:before="120" w:after="120"/>
        <w:rPr>
          <w:szCs w:val="24"/>
        </w:rPr>
      </w:pPr>
      <w:bookmarkStart w:id="8" w:name="_Toc303839934"/>
      <w:bookmarkStart w:id="9" w:name="_Toc303839817"/>
      <w:bookmarkStart w:id="10" w:name="_Toc303839873"/>
      <w:bookmarkEnd w:id="8"/>
      <w:bookmarkEnd w:id="9"/>
      <w:bookmarkEnd w:id="10"/>
      <w:r>
        <w:rPr>
          <w:szCs w:val="24"/>
        </w:rPr>
        <w:t>Система электроснабжения, освещения, заземления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создании системы электроснабжения, силового электрооборудования и электрического освещения помещений ЦОД необходимо выполнять требования Правил устройства электроустановок (ПУЭ), инструкций по проектированию электроснабжения промышленных предприятий, силового и осветительного электрооборудования промышленных предприятий, по проектированию и устройству </w:t>
      </w:r>
      <w:proofErr w:type="spellStart"/>
      <w:r>
        <w:rPr>
          <w:rFonts w:ascii="Times New Roman" w:hAnsi="Times New Roman"/>
          <w:sz w:val="24"/>
          <w:szCs w:val="24"/>
        </w:rPr>
        <w:t>молниезащиты</w:t>
      </w:r>
      <w:proofErr w:type="spellEnd"/>
      <w:r>
        <w:rPr>
          <w:rFonts w:ascii="Times New Roman" w:hAnsi="Times New Roman"/>
          <w:sz w:val="24"/>
          <w:szCs w:val="24"/>
        </w:rPr>
        <w:t xml:space="preserve"> зданий и сооружений, а также соблюдать нормы </w:t>
      </w:r>
      <w:r>
        <w:rPr>
          <w:rFonts w:ascii="Times New Roman" w:hAnsi="Times New Roman"/>
          <w:sz w:val="24"/>
          <w:szCs w:val="24"/>
        </w:rPr>
        <w:lastRenderedPageBreak/>
        <w:t>главы СНиП по проектированию искусственного освещения и главы СНиП по электротехническим устройствам.</w:t>
      </w:r>
    </w:p>
    <w:p w:rsidR="00E15380" w:rsidRDefault="005F5CE0">
      <w:pPr>
        <w:tabs>
          <w:tab w:val="left" w:pos="1780"/>
        </w:tabs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ОИТ относится к группе </w:t>
      </w:r>
      <w:proofErr w:type="spellStart"/>
      <w:r>
        <w:rPr>
          <w:rFonts w:ascii="Times New Roman" w:hAnsi="Times New Roman"/>
          <w:sz w:val="24"/>
          <w:szCs w:val="24"/>
        </w:rPr>
        <w:t>электроприемников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I особой категории (два независимых ввода от электросети и один автономный источники электроснабжения). 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Параметры работы систем электроснабжения должны передаваться в систему мониторинга ЦОД.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Электроснабжение ЦОД предусмотреть от существующей ТП-1, проложить две силовые линии от ТП-1 до главного распределительного щита ЦОД, марку кабеля, трассу прокладки предусмотреть проектом. Согласовать с Заказчиком мощности подключаемого оборудования к ТП-1.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электроснабжения ЦОД должна быть резервируемой и включать в себя: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главный распределительный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щит  с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3-х секционным АВР</w:t>
      </w:r>
      <w:r w:rsidRPr="005F5CE0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располагается в помещении подготовки оборудования и систем электроснабжения (для переключения нагрузки между вводами и для возможности подключения ДГУ в будущем);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распределение питания после ИБП и кабели питания до потребителей (стойки и другое оборудования ЦОД);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распределение питания в стойках.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требования к подсистеме: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все потребители электропитания разбиваются на группы для возможности отключения отдельных потребителей от электропитания; 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каждая группа должна иметь свой автомат защиты;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ИБП должен иметь внешний байпас для возможности вывода ИБП с целью проведения регламентных работ без отключения ЦОД;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оба кабеля должны работать в режиме горячего резерва, БРП готовы принять нагрузку в любое время. Каждое БРП должно иметь запас для принятия полной нагрузки.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внутри стоек (шкафов) устанавливаются 3-х фазные БРП</w:t>
      </w:r>
      <w:r w:rsidRPr="005F5CE0">
        <w:rPr>
          <w:rFonts w:ascii="Times New Roman" w:eastAsia="Times New Roman" w:hAnsi="Times New Roman"/>
          <w:sz w:val="24"/>
          <w:szCs w:val="24"/>
        </w:rPr>
        <w:t>, в кроссовый шкаф устанавливается шкафной АВР, рассчитанный на ток 16А для электропитания ИТ-потребителей с одним блоком питания</w:t>
      </w:r>
      <w:r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все соединения без использования стандартных розеток производятся в шкафах распределения питания;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кабели питания внутри ЦОД применяются в негорючей изоляции и прокладываются в лотках в пространстве фальшпола или в лотках под потолком.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Проектировать исполнение электрической сети необходимо только медным кабелем в лотках, коробах или в скрыто проложенных трубах. Пересечение трасс кабелей допускается только под прямым углом.</w:t>
      </w:r>
    </w:p>
    <w:p w:rsidR="00E15380" w:rsidRDefault="005F5CE0">
      <w:pPr>
        <w:ind w:firstLine="426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Трассы прокладки кабельных лотков и других конструкций не должны препятствовать подаче холодного воздуха и забору горячего воздуха.</w:t>
      </w:r>
    </w:p>
    <w:p w:rsidR="00E15380" w:rsidRDefault="005F5CE0">
      <w:pPr>
        <w:ind w:firstLine="426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прокладки кабеля через перекрытия, стены и перегородки должны быть герметизированы и выполнены в отрезках несгораемых (</w:t>
      </w:r>
      <w:proofErr w:type="spellStart"/>
      <w:r>
        <w:rPr>
          <w:rFonts w:ascii="Times New Roman" w:hAnsi="Times New Roman"/>
          <w:sz w:val="24"/>
          <w:szCs w:val="24"/>
        </w:rPr>
        <w:t>трудносгораемых</w:t>
      </w:r>
      <w:proofErr w:type="spellEnd"/>
      <w:r>
        <w:rPr>
          <w:rFonts w:ascii="Times New Roman" w:hAnsi="Times New Roman"/>
          <w:sz w:val="24"/>
          <w:szCs w:val="24"/>
        </w:rPr>
        <w:t>) труб с использованием несгораемых материалов.</w:t>
      </w:r>
    </w:p>
    <w:p w:rsidR="00E15380" w:rsidRDefault="005F5CE0">
      <w:pPr>
        <w:ind w:firstLine="426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ввода кабельных коммуникаций и коммуникаций других инженерных систем в ограждающих конструкциях необходимо предусмотреть герметичные вводы (муфты).</w:t>
      </w:r>
    </w:p>
    <w:p w:rsidR="00E15380" w:rsidRDefault="005F5CE0">
      <w:pPr>
        <w:ind w:firstLine="426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Кабельные каналы для обеспечения возможности наращивания кабельной сети проектируются с заполнением не более 50%.</w:t>
      </w:r>
    </w:p>
    <w:p w:rsidR="00E15380" w:rsidRDefault="00E15380">
      <w:pPr>
        <w:rPr>
          <w:rFonts w:ascii="Times New Roman" w:hAnsi="Times New Roman"/>
          <w:sz w:val="24"/>
          <w:szCs w:val="24"/>
        </w:rPr>
      </w:pP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Сеть бесперебойного электропитания должна обеспечивать следующие параметры работы для ОИТ: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запас мощности для развития сети (определяется рабочим проектом);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расчетная максимальная мощность потребления (включая 15% запас) резервируемого по ИБП оборудования 60 (ОИТ) кВт;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максимальная мощность одного</w:t>
      </w:r>
      <w:r w:rsidRPr="005F5CE0">
        <w:rPr>
          <w:rFonts w:ascii="Times New Roman" w:eastAsia="Times New Roman" w:hAnsi="Times New Roman"/>
          <w:sz w:val="24"/>
          <w:szCs w:val="24"/>
        </w:rPr>
        <w:t xml:space="preserve"> шкафа</w:t>
      </w:r>
      <w:r>
        <w:rPr>
          <w:rFonts w:ascii="Times New Roman" w:eastAsia="Times New Roman" w:hAnsi="Times New Roman"/>
          <w:sz w:val="24"/>
          <w:szCs w:val="24"/>
        </w:rPr>
        <w:t xml:space="preserve"> – 8 кВт;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время непрерывной работы ЦОД от АКБ ИБП - не менее 15 минут для не</w:t>
      </w:r>
      <w:r w:rsidRPr="005F5CE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отключаемой нагрузки.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Освещение в помещениях ЦОД должно быть предусмотрено рабочее, дежурное аварийное и эвакуационное. Освещение должно быть светодиодное.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Питание аварийного освещения должно осуществляться от собственного ИБП с расчётным временем работы от АКБ не менее 120 мин.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лампы (эвакуационного освещения) должны иметь независимый источник электроэнергии – встроенный аккумулятор. Нормальная освещённость помещений ЦОД должна быть не менее 500 Люкс на высоте 1 метр от уровня пола.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проектировании системы заземления ЦОД необходимо использовать имеющееся </w:t>
      </w:r>
      <w:proofErr w:type="gramStart"/>
      <w:r>
        <w:rPr>
          <w:rFonts w:ascii="Times New Roman" w:hAnsi="Times New Roman"/>
          <w:sz w:val="24"/>
          <w:szCs w:val="24"/>
        </w:rPr>
        <w:t>конструкции  заземления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здания.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Заземление устройств ОИТ выполнить по ГОСТ Р 50571.20-2000, ГОСТ Р 50571.21-2000 и ГОСТ Р 50571.22-2000 медным кабелем типа ПВ3 желто-зеленого цвета, сечением не менее 16 мм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. Все металлические </w:t>
      </w:r>
      <w:proofErr w:type="gramStart"/>
      <w:r>
        <w:rPr>
          <w:rFonts w:ascii="Times New Roman" w:hAnsi="Times New Roman"/>
          <w:sz w:val="24"/>
          <w:szCs w:val="24"/>
        </w:rPr>
        <w:t>конструкции  должны</w:t>
      </w:r>
      <w:proofErr w:type="gramEnd"/>
      <w:r>
        <w:rPr>
          <w:rFonts w:ascii="Times New Roman" w:hAnsi="Times New Roman"/>
          <w:sz w:val="24"/>
          <w:szCs w:val="24"/>
        </w:rPr>
        <w:t xml:space="preserve"> быть заземлены.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Соединения заземляющих защитных проводников должны быть доступны для осмотра.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эксплуатации ОИТ должны соответствовать требованиям по защите от помех в соответствии с ГОСТ Р 50839-2000. 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Потенциалы контуров заземления должны быть выровнены между собой.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электроснабжения ЦОД от основной питающей сети должны быть запроектированы внешние кабельные линии. Сечение, тип   выбираются на основании расчётов в процессе рабочего проектирования.</w:t>
      </w:r>
    </w:p>
    <w:p w:rsidR="00E15380" w:rsidRDefault="005F5CE0">
      <w:pPr>
        <w:pStyle w:val="2"/>
        <w:spacing w:before="120" w:after="120"/>
        <w:rPr>
          <w:szCs w:val="24"/>
        </w:rPr>
      </w:pPr>
      <w:r>
        <w:rPr>
          <w:szCs w:val="24"/>
        </w:rPr>
        <w:t>Система бесперебойного электроснабжения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ОИТ сеть электропитания должна быть бесперебойной, т.е. при отключении основного источника электроэнергии электроснабжение ОИТ должно быть обеспечено с помощью ИБП модульного типа.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автономной работы с помощью ИБП рассчитывается с учётом необходимого времени для корректного выключения вычислительного оборудования, но не менее 15 минут. Необходимо предусмотреть резервирование ИБП по схеме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+1.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ИБП должна быть предусмотрена возможность управления через протоколы передачи данных. Тип питания - трёхфазное подключение с заземлением, нулевое время переключения, двойное преобразование.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АКБ ИБП располагаются в отдельном шкафу. ИБП размещается в помещении машинного зала.</w:t>
      </w:r>
    </w:p>
    <w:p w:rsidR="00E15380" w:rsidRDefault="005F5CE0">
      <w:pPr>
        <w:pStyle w:val="2"/>
        <w:spacing w:before="120" w:after="120"/>
        <w:rPr>
          <w:szCs w:val="24"/>
        </w:rPr>
      </w:pPr>
      <w:r>
        <w:rPr>
          <w:szCs w:val="24"/>
        </w:rPr>
        <w:t>Система автоматического газового пожаротушения и оповещения людей о пожаре</w:t>
      </w:r>
    </w:p>
    <w:p w:rsidR="00E15380" w:rsidRDefault="005F5CE0">
      <w:pPr>
        <w:pStyle w:val="10"/>
        <w:spacing w:before="120" w:after="120"/>
        <w:rPr>
          <w:szCs w:val="24"/>
        </w:rPr>
      </w:pPr>
      <w:r>
        <w:rPr>
          <w:szCs w:val="24"/>
        </w:rPr>
        <w:t>Система автоматического газового пожаротушения</w:t>
      </w:r>
    </w:p>
    <w:p w:rsidR="00E15380" w:rsidRDefault="005F5CE0">
      <w:pPr>
        <w:ind w:firstLine="3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Автоматическое пожаротушение (далее АСПТ) предусмотреть в помещении серверного зала и ИБП. В машинном зале </w:t>
      </w:r>
      <w:proofErr w:type="spellStart"/>
      <w:r>
        <w:rPr>
          <w:rFonts w:ascii="Times New Roman" w:hAnsi="Times New Roman"/>
          <w:sz w:val="24"/>
          <w:szCs w:val="24"/>
        </w:rPr>
        <w:t>подфальшпольное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пространство должно защищаться по отдельному направлению.</w:t>
      </w:r>
    </w:p>
    <w:p w:rsidR="00E15380" w:rsidRDefault="005F5CE0">
      <w:pPr>
        <w:ind w:firstLine="3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охранно-пожарной сигнализации и оповещения людей о пожаре в помещениях ЦОД должна быть выполнена отдельно от систем безопасности существующего здания.</w:t>
      </w:r>
    </w:p>
    <w:p w:rsidR="00E15380" w:rsidRDefault="005F5CE0">
      <w:pPr>
        <w:ind w:firstLine="3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Сигналы оповещения выводятся в защищаемые помещения и дублируются на пост круглосуточной охраны на отдельный центральный приемно-контрольный прибор (пульт).</w:t>
      </w:r>
    </w:p>
    <w:p w:rsidR="00E15380" w:rsidRDefault="005F5CE0">
      <w:pPr>
        <w:ind w:firstLine="3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оповещения людей о пожаре - светозвуковая. </w:t>
      </w:r>
    </w:p>
    <w:p w:rsidR="00E15380" w:rsidRDefault="005F5CE0">
      <w:pPr>
        <w:ind w:firstLine="3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 тушения – объемный со 100% запасом огнетушащего вещества.</w:t>
      </w:r>
    </w:p>
    <w:p w:rsidR="00E15380" w:rsidRDefault="005F5CE0">
      <w:pPr>
        <w:ind w:firstLine="3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Используемый газ – ФК-5-1-12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Novec</w:t>
      </w:r>
      <w:proofErr w:type="spellEnd"/>
      <w:r>
        <w:rPr>
          <w:rFonts w:ascii="Times New Roman" w:hAnsi="Times New Roman"/>
          <w:sz w:val="24"/>
          <w:szCs w:val="24"/>
        </w:rPr>
        <w:t>1230).</w:t>
      </w:r>
    </w:p>
    <w:p w:rsidR="00E15380" w:rsidRDefault="005F5CE0">
      <w:pPr>
        <w:pStyle w:val="a5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местное и дистанционное управление системой.</w:t>
      </w:r>
    </w:p>
    <w:p w:rsidR="00E15380" w:rsidRDefault="005F5CE0">
      <w:pPr>
        <w:pStyle w:val="a5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системы автоматического пожаротушения должна быть реализована совместно с работой автоматической пожарной сигнализации.</w:t>
      </w:r>
    </w:p>
    <w:p w:rsidR="00E15380" w:rsidRDefault="005F5CE0">
      <w:pPr>
        <w:pStyle w:val="a5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Должна быть реализована выдача сигнала на включение системы оповещения о пожаре, а также выдача команд управления в различные инженерные системы здания (</w:t>
      </w:r>
      <w:proofErr w:type="spellStart"/>
      <w:r>
        <w:rPr>
          <w:rFonts w:ascii="Times New Roman" w:hAnsi="Times New Roman"/>
          <w:sz w:val="24"/>
          <w:szCs w:val="24"/>
        </w:rPr>
        <w:t>дымоудаление</w:t>
      </w:r>
      <w:proofErr w:type="spellEnd"/>
      <w:r>
        <w:rPr>
          <w:rFonts w:ascii="Times New Roman" w:hAnsi="Times New Roman"/>
          <w:sz w:val="24"/>
          <w:szCs w:val="24"/>
        </w:rPr>
        <w:t>, вентиляция и т.д.).</w:t>
      </w:r>
    </w:p>
    <w:p w:rsidR="00E15380" w:rsidRDefault="005F5CE0">
      <w:pPr>
        <w:ind w:firstLine="3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пожаротушения должна обеспечивать: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три режима работы (автоматический, дистанционный, ручной);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пуск огнетушащего вещества системы АСПТ в автоматическом режиме от датчиков раннего обнаружения пожара, реагирующих на появление факторов пожара (типа </w:t>
      </w:r>
      <w:r w:rsidRPr="005F5CE0">
        <w:rPr>
          <w:rFonts w:ascii="Times New Roman" w:hAnsi="Times New Roman"/>
          <w:sz w:val="24"/>
          <w:szCs w:val="24"/>
        </w:rPr>
        <w:t>ИП 212-45 (серия ЕСО)</w:t>
      </w:r>
      <w:r>
        <w:rPr>
          <w:rFonts w:ascii="Times New Roman" w:hAnsi="Times New Roman"/>
          <w:sz w:val="24"/>
          <w:szCs w:val="24"/>
        </w:rPr>
        <w:t>);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дистанционный пуск от ручных </w:t>
      </w:r>
      <w:proofErr w:type="spellStart"/>
      <w:r>
        <w:rPr>
          <w:rFonts w:ascii="Times New Roman" w:hAnsi="Times New Roman"/>
          <w:sz w:val="24"/>
          <w:szCs w:val="24"/>
        </w:rPr>
        <w:t>извещателей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 из автоматического режима работы в ручной при наличии людей на объекте;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срабатывание модулей пожаротушения в автоматическом режиме по сигналу с приёмно-контрольного и управляющего прибора при срабатывании двух и более </w:t>
      </w:r>
      <w:proofErr w:type="spellStart"/>
      <w:r>
        <w:rPr>
          <w:rFonts w:ascii="Times New Roman" w:hAnsi="Times New Roman"/>
          <w:sz w:val="24"/>
          <w:szCs w:val="24"/>
        </w:rPr>
        <w:t>извещателей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исправности и целостности всей системы и своевременное предупреждение о её срабатывании и любом её нарушении;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постановку в автоматический режим со специальных устройств;</w:t>
      </w:r>
    </w:p>
    <w:p w:rsidR="00E15380" w:rsidRDefault="005F5CE0">
      <w:pPr>
        <w:pStyle w:val="11"/>
        <w:ind w:leftChars="200" w:left="412" w:hanging="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дублирование всех сигналов и её состояния на пульт поста охраны;</w:t>
      </w:r>
    </w:p>
    <w:p w:rsidR="00E15380" w:rsidRDefault="005F5CE0">
      <w:pPr>
        <w:pStyle w:val="11"/>
        <w:numPr>
          <w:ilvl w:val="0"/>
          <w:numId w:val="0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 основных сигналов от системы АСПТ в систему мониторинга ЦОД.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помещениях, оборудованных системой АСПТ, предусмотреть: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отключение вентиляции при срабатывании не менее 2-х датчиков;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закрытие автоматизированных </w:t>
      </w:r>
      <w:proofErr w:type="spellStart"/>
      <w:r>
        <w:rPr>
          <w:rFonts w:ascii="Times New Roman" w:hAnsi="Times New Roman"/>
          <w:sz w:val="24"/>
          <w:szCs w:val="24"/>
        </w:rPr>
        <w:t>огнезадерживающих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и герметизирующих заслонок и клапанов на воздуховодах; 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удаление дыма и газа после пожара из защищаемых помещений в объёме не менее 3-х кратного воздухообмена в час через стационарную систему </w:t>
      </w:r>
      <w:proofErr w:type="spellStart"/>
      <w:r>
        <w:rPr>
          <w:rFonts w:ascii="Times New Roman" w:hAnsi="Times New Roman"/>
          <w:sz w:val="24"/>
          <w:szCs w:val="24"/>
        </w:rPr>
        <w:t>газодымоудаления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 ручным пуском после ликвидации пожара.</w:t>
      </w:r>
    </w:p>
    <w:p w:rsidR="00E15380" w:rsidRDefault="005F5CE0">
      <w:pPr>
        <w:ind w:firstLine="3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Стойки и шкафы в серверной должны быть выполнены из несгораемых материалов.</w:t>
      </w:r>
    </w:p>
    <w:p w:rsidR="00E15380" w:rsidRDefault="005F5CE0">
      <w:pPr>
        <w:ind w:firstLine="3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Электроснабжение АСПТ должно быть выполнено по I-й категории надёжности с резервированным источником электропитания и резервными батареями, которые обеспечат питание системы пожарной сигнализации в дежурном режиме в течение 24 часов и в режиме «Тревога» не менее 3 часов.</w:t>
      </w:r>
    </w:p>
    <w:p w:rsidR="00E15380" w:rsidRDefault="005F5CE0">
      <w:pPr>
        <w:ind w:firstLine="3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документация на систему автоматической пожарной сигнализации, оповещения и пожаротушения должна быть разработана в соответствии действующими государственными и ведомственными нормативно-техническими документами. </w:t>
      </w:r>
    </w:p>
    <w:p w:rsidR="00E15380" w:rsidRDefault="005F5CE0">
      <w:pPr>
        <w:pStyle w:val="10"/>
        <w:spacing w:before="120" w:after="120"/>
        <w:rPr>
          <w:szCs w:val="24"/>
        </w:rPr>
      </w:pPr>
      <w:r>
        <w:rPr>
          <w:szCs w:val="24"/>
        </w:rPr>
        <w:t>Система оповещения людей о пожаре</w:t>
      </w:r>
    </w:p>
    <w:p w:rsidR="00E15380" w:rsidRDefault="005F5CE0">
      <w:pPr>
        <w:shd w:val="clear" w:color="auto" w:fill="FFFFFF"/>
        <w:tabs>
          <w:tab w:val="left" w:pos="1418"/>
        </w:tabs>
        <w:ind w:firstLine="42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Выбор типа и количества пожарных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извещателей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, а также требования к </w:t>
      </w:r>
      <w:r>
        <w:rPr>
          <w:rFonts w:ascii="Times New Roman" w:hAnsi="Times New Roman"/>
          <w:spacing w:val="-2"/>
          <w:sz w:val="24"/>
          <w:szCs w:val="24"/>
        </w:rPr>
        <w:t xml:space="preserve">шлейфам пожарной сигнализации определить согласно главы 12 НПБ 88-2001 </w:t>
      </w:r>
      <w:r>
        <w:rPr>
          <w:rFonts w:ascii="Times New Roman" w:hAnsi="Times New Roman"/>
          <w:spacing w:val="-3"/>
          <w:sz w:val="24"/>
          <w:szCs w:val="24"/>
        </w:rPr>
        <w:t>"Установки пожаротушения и сигнализации. Нормы и правила проектирования".</w:t>
      </w:r>
    </w:p>
    <w:p w:rsidR="00E15380" w:rsidRDefault="005F5CE0">
      <w:pPr>
        <w:shd w:val="clear" w:color="auto" w:fill="FFFFFF"/>
        <w:tabs>
          <w:tab w:val="left" w:pos="1418"/>
        </w:tabs>
        <w:ind w:firstLine="426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Аппаратура системы АСПТ должна обеспечивать: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передачу сигнала "Пожар", "Неисправность" по каждому шлейфу на пост дежурного персонала;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передачу состояния АСПТ и ПС в систему мониторинга ЦОД.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протоколирование всех событий, происходящих в системе;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команды на управление установками пожаротушения, </w:t>
      </w:r>
      <w:proofErr w:type="spellStart"/>
      <w:r>
        <w:rPr>
          <w:rFonts w:ascii="Times New Roman" w:hAnsi="Times New Roman"/>
          <w:sz w:val="24"/>
          <w:szCs w:val="24"/>
        </w:rPr>
        <w:t>дымоудаления</w:t>
      </w:r>
      <w:proofErr w:type="spellEnd"/>
      <w:r>
        <w:rPr>
          <w:rFonts w:ascii="Times New Roman" w:hAnsi="Times New Roman"/>
          <w:sz w:val="24"/>
          <w:szCs w:val="24"/>
        </w:rPr>
        <w:t>, оповещения о пожаре и управления инженерным оборудованием.</w:t>
      </w:r>
    </w:p>
    <w:p w:rsidR="00E15380" w:rsidRDefault="005F5CE0">
      <w:pPr>
        <w:shd w:val="clear" w:color="auto" w:fill="FFFFFF"/>
        <w:tabs>
          <w:tab w:val="left" w:pos="1418"/>
        </w:tabs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Класс системы оповещения и типы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оповещателей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определить на стадии «Р</w:t>
      </w:r>
      <w:r>
        <w:rPr>
          <w:rFonts w:ascii="Times New Roman" w:hAnsi="Times New Roman"/>
          <w:spacing w:val="-9"/>
          <w:sz w:val="24"/>
          <w:szCs w:val="24"/>
        </w:rPr>
        <w:t>».</w:t>
      </w:r>
    </w:p>
    <w:p w:rsidR="00E15380" w:rsidRDefault="005F5CE0">
      <w:pPr>
        <w:tabs>
          <w:tab w:val="left" w:pos="1418"/>
        </w:tabs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Электропитание систем должно обеспечивать: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надёжности электроснабжения согласно ПУЭ должна соответствовать категории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 соответствии с указаниями главы 14 НПБ 88-2001 "Установки пожаротушения и сигнализации. Нормы и правила проектирования";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электроснабжение должно осуществляться от отдельных групп электрощитов гарантированного электропитания или электрощитов аварийного освещения через отдельные автоматические выключатели.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системы должны иметь резервное питание согласно РД 78.145-93.</w:t>
      </w:r>
    </w:p>
    <w:p w:rsidR="00E15380" w:rsidRDefault="005F5CE0">
      <w:pPr>
        <w:shd w:val="clear" w:color="auto" w:fill="FFFFFF"/>
        <w:tabs>
          <w:tab w:val="left" w:pos="1418"/>
        </w:tabs>
        <w:ind w:firstLine="426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Оборудования систем АСПТ, ПС расположить в запираемых шкафах с </w:t>
      </w:r>
      <w:r>
        <w:rPr>
          <w:rFonts w:ascii="Times New Roman" w:hAnsi="Times New Roman"/>
          <w:sz w:val="24"/>
          <w:szCs w:val="24"/>
        </w:rPr>
        <w:t xml:space="preserve">классом защиты не менее </w:t>
      </w:r>
      <w:r>
        <w:rPr>
          <w:rFonts w:ascii="Times New Roman" w:hAnsi="Times New Roman"/>
          <w:sz w:val="24"/>
          <w:szCs w:val="24"/>
          <w:lang w:val="en-US"/>
        </w:rPr>
        <w:t>IP</w:t>
      </w:r>
      <w:r>
        <w:rPr>
          <w:rFonts w:ascii="Times New Roman" w:hAnsi="Times New Roman"/>
          <w:sz w:val="24"/>
          <w:szCs w:val="24"/>
        </w:rPr>
        <w:t xml:space="preserve">54. Расположение шкафов уточнить на стадии проектирования и </w:t>
      </w:r>
      <w:r>
        <w:rPr>
          <w:rFonts w:ascii="Times New Roman" w:hAnsi="Times New Roman"/>
          <w:spacing w:val="-3"/>
          <w:sz w:val="24"/>
          <w:szCs w:val="24"/>
        </w:rPr>
        <w:t>согласовать с Заказчиком.</w:t>
      </w:r>
    </w:p>
    <w:p w:rsidR="00E15380" w:rsidRDefault="005F5CE0">
      <w:pPr>
        <w:pStyle w:val="2"/>
        <w:spacing w:before="120" w:after="120"/>
      </w:pPr>
      <w:r>
        <w:t>Система охранной сигнализации</w:t>
      </w:r>
    </w:p>
    <w:p w:rsidR="00E15380" w:rsidRDefault="005F5CE0">
      <w:pPr>
        <w:shd w:val="clear" w:color="auto" w:fill="FFFFFF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Система охранной сигнализации (ОС) предназначена для оповещения о </w:t>
      </w:r>
      <w:r>
        <w:rPr>
          <w:rFonts w:ascii="Times New Roman" w:hAnsi="Times New Roman"/>
          <w:spacing w:val="5"/>
          <w:sz w:val="24"/>
          <w:szCs w:val="24"/>
        </w:rPr>
        <w:t>несанкционированном доступе в охраняемые помещения.</w:t>
      </w:r>
    </w:p>
    <w:p w:rsidR="00E15380" w:rsidRDefault="005F5CE0">
      <w:pPr>
        <w:shd w:val="clear" w:color="auto" w:fill="FFFFFF"/>
        <w:tabs>
          <w:tab w:val="left" w:pos="1666"/>
        </w:tabs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Система ОС должна обеспечивать: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независимый контроль в одном шлейфе контакта тревоги и контакта блокировки датчика;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защиту шлейфов от саботажа путём отслеживания резких изменений сопротивления шлейфа, не выходящих за рамки порогов срабатывания;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защиту от ложных срабатываний сигнализации, цифровой фильтрации сигналов сети переменного тока, импульсных наводок, электростатических воздействий и других электромагнитных помех;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автоматический сброс тревоги </w:t>
      </w:r>
      <w:proofErr w:type="spellStart"/>
      <w:r>
        <w:rPr>
          <w:rFonts w:ascii="Times New Roman" w:hAnsi="Times New Roman"/>
          <w:sz w:val="24"/>
          <w:szCs w:val="24"/>
        </w:rPr>
        <w:t>извещателей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с питанием по шлейфу при взятии под охрану;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снятия и постановки на охрану с помощью клавиатуры с ЖК-дисплеем;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протоколирование всех событий, происходящих в системе.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 задания полномочий по взятию/снятию для персонала, путём программирования уровней доступа;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передачу тревожных сигналов системы ОС в систему мониторинга ЦОД.</w:t>
      </w:r>
    </w:p>
    <w:p w:rsidR="00E15380" w:rsidRDefault="005F5CE0">
      <w:pPr>
        <w:shd w:val="clear" w:color="auto" w:fill="FFFFFF"/>
        <w:tabs>
          <w:tab w:val="left" w:pos="1666"/>
        </w:tabs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Система ОС должна обеспечивать защиту: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помещений жизнеобеспечения здания и общественных помещений двумя рубежами охраны: двери на открывание, внутренний объём - ИК-</w:t>
      </w:r>
      <w:proofErr w:type="spellStart"/>
      <w:r>
        <w:rPr>
          <w:rFonts w:ascii="Times New Roman" w:hAnsi="Times New Roman"/>
          <w:sz w:val="24"/>
          <w:szCs w:val="24"/>
        </w:rPr>
        <w:t>извещателями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помещений для защиты определить проектом.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автономную постановку/снятие помещений с охраны ответственным персоналом установкой объектовых пультов управления.</w:t>
      </w:r>
    </w:p>
    <w:p w:rsidR="00E15380" w:rsidRDefault="005F5CE0">
      <w:pPr>
        <w:shd w:val="clear" w:color="auto" w:fill="FFFFFF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Электропитание системы ОС должно обеспечивать: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надёжности электроснабжения согласно ПУЭ должна соответствовать категории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 соответствии с указаниями главы 14 НПБ 88-2001 "Установки пожаротушения и сигнализации. Нормы и правила проектирования";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электроснабжение должно осуществляться от отдельных групп электрощитов гарантированного электропитания или электрощитов аварийного освещения через отдельные автоматические выключатели;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ОС должна иметь резервное питание согласно РД 78.145-93.</w:t>
      </w:r>
    </w:p>
    <w:p w:rsidR="00E15380" w:rsidRDefault="005F5CE0">
      <w:pPr>
        <w:shd w:val="clear" w:color="auto" w:fill="FFFFFF"/>
        <w:tabs>
          <w:tab w:val="left" w:pos="993"/>
          <w:tab w:val="left" w:pos="6643"/>
        </w:tabs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Расположение оборудования системы ОС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произвести  по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предварительному согласованию с Заказчиком. </w:t>
      </w:r>
    </w:p>
    <w:p w:rsidR="00E15380" w:rsidRDefault="005F5CE0">
      <w:pPr>
        <w:pStyle w:val="2"/>
        <w:spacing w:before="120" w:after="120"/>
        <w:rPr>
          <w:szCs w:val="24"/>
        </w:rPr>
      </w:pPr>
      <w:r>
        <w:rPr>
          <w:szCs w:val="24"/>
        </w:rPr>
        <w:t>Система контроля и управлением доступом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контроля и управлением доступом (СКУД) предназначена для обеспечения контроля доступа в помещения ЦОД.</w:t>
      </w:r>
    </w:p>
    <w:p w:rsidR="00E15380" w:rsidRDefault="005F5CE0">
      <w:pPr>
        <w:ind w:left="397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Система СКУД должна обеспечивать: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установку разных уровней доступа в разные зоны ЦОД индивидуально для каждого сотрудника;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протоколирование всех событий, происходящих в системе;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 в помещения ЦОД через основную точку доступа (двери) с помощью нормально закрытых электромеханических защёлок, выход по кнопке, открытие дверей при помощи бесконтактных считывателей электронных ключей стандарта EM-</w:t>
      </w:r>
      <w:proofErr w:type="spellStart"/>
      <w:r>
        <w:rPr>
          <w:rFonts w:ascii="Times New Roman" w:hAnsi="Times New Roman"/>
          <w:sz w:val="24"/>
          <w:szCs w:val="24"/>
        </w:rPr>
        <w:t>Marin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параметры работы СКУД должны передаваться в систему диспетчерского контроля и сбора данных ЦОД.</w:t>
      </w:r>
    </w:p>
    <w:p w:rsidR="00E15380" w:rsidRDefault="005F5CE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Электропитание СКУД должно обеспечивать: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надёжности электроснабжения согласно ПУЭ должна соответствовать категории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 соответствии с указаниями главы 14 НПБ 88-2001 "Установки пожаротушения и сигнализации. Нормы и правила проектирования";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электроснабжение должно осуществляться от отдельных групп электрощитов гарантированного электропитания или электрощитов аварийного освещения через отдельные автоматические выключатели;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СКУД должна иметь резервное питание согласно РД 78.145-93.</w:t>
      </w:r>
    </w:p>
    <w:p w:rsidR="00E15380" w:rsidRDefault="005F5CE0">
      <w:pPr>
        <w:shd w:val="clear" w:color="auto" w:fill="FFFFFF"/>
        <w:tabs>
          <w:tab w:val="left" w:pos="993"/>
          <w:tab w:val="left" w:pos="6643"/>
        </w:tabs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Расположение оборудования системы ОС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произвести  по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предварительному согласованию с заказчиком;</w:t>
      </w:r>
      <w:r>
        <w:rPr>
          <w:rFonts w:ascii="Times New Roman" w:hAnsi="Times New Roman"/>
          <w:sz w:val="24"/>
          <w:szCs w:val="24"/>
        </w:rPr>
        <w:tab/>
      </w:r>
    </w:p>
    <w:p w:rsidR="00E15380" w:rsidRDefault="005F5CE0">
      <w:pPr>
        <w:pStyle w:val="2"/>
        <w:spacing w:before="120" w:after="120"/>
        <w:rPr>
          <w:szCs w:val="24"/>
        </w:rPr>
      </w:pPr>
      <w:r>
        <w:rPr>
          <w:szCs w:val="24"/>
        </w:rPr>
        <w:t>Структурированная кабельная система</w:t>
      </w:r>
    </w:p>
    <w:p w:rsidR="00E15380" w:rsidRDefault="00E15380">
      <w:pPr>
        <w:rPr>
          <w:rFonts w:ascii="Times New Roman" w:hAnsi="Times New Roman"/>
          <w:sz w:val="24"/>
          <w:szCs w:val="24"/>
        </w:rPr>
      </w:pPr>
    </w:p>
    <w:p w:rsidR="00E15380" w:rsidRDefault="005F5CE0">
      <w:pPr>
        <w:ind w:firstLine="3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СКС ЦОД предназначена для обеспечения коммуникации ИТ-оборудования ЦОД между ИТ-шкафами и кроссовым шкафом, а также обеспечивает внешние подключения к центральному кроссовому узлу.</w:t>
      </w:r>
    </w:p>
    <w:p w:rsidR="00E15380" w:rsidRDefault="005F5CE0">
      <w:pPr>
        <w:ind w:firstLine="3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СКС необходимо выполнить с учётом требований по физической защите трасс от повреждения, включающих: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трубы и металлические короба в особо опасных зонах;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общего кабельного потока на пучки по 20-25 кабелей и по плоскости лотка;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крепление кабеля по всей трассе с помощью специальных стяжек по всей длине (на горизонтальных участках - через 1,5–2 м, на вертикальных участках и в шкафах - через 25–30 см, на коммутационных панелях - у каждого порта).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элементы СКС должны быть однозначно идентифицированы и промаркированы. Кабели маркируются на двух концах. К исполнительной документации прилагается список идентифицированных элементов сети с указанием места установки, а для кабелей - трассы прокладки.</w:t>
      </w:r>
    </w:p>
    <w:p w:rsidR="00E15380" w:rsidRDefault="005F5CE0">
      <w:pPr>
        <w:pStyle w:val="3"/>
        <w:numPr>
          <w:ilvl w:val="0"/>
          <w:numId w:val="0"/>
        </w:numPr>
        <w:ind w:left="504" w:hanging="78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Горизонтальная подсистема: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СКС внутри ЦОД выполняется по категории 6 (10 Гбит);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оптические линии выполняются </w:t>
      </w:r>
      <w:proofErr w:type="spellStart"/>
      <w:r>
        <w:rPr>
          <w:rFonts w:ascii="Times New Roman" w:hAnsi="Times New Roman"/>
          <w:sz w:val="24"/>
          <w:szCs w:val="24"/>
        </w:rPr>
        <w:t>многомодовым</w:t>
      </w:r>
      <w:proofErr w:type="spellEnd"/>
      <w:r>
        <w:rPr>
          <w:rFonts w:ascii="Times New Roman" w:hAnsi="Times New Roman"/>
          <w:sz w:val="24"/>
          <w:szCs w:val="24"/>
        </w:rPr>
        <w:t xml:space="preserve"> волокном ОМ3, соотношение волокон определяется на стадии рабочего проектирования;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каждый серверный шкаф в ЦОД устанавливается 1 медная </w:t>
      </w:r>
      <w:proofErr w:type="spellStart"/>
      <w:r>
        <w:rPr>
          <w:rFonts w:ascii="Times New Roman" w:hAnsi="Times New Roman"/>
          <w:sz w:val="24"/>
          <w:szCs w:val="24"/>
        </w:rPr>
        <w:t>патч</w:t>
      </w:r>
      <w:proofErr w:type="spellEnd"/>
      <w:r>
        <w:rPr>
          <w:rFonts w:ascii="Times New Roman" w:hAnsi="Times New Roman"/>
          <w:sz w:val="24"/>
          <w:szCs w:val="24"/>
        </w:rPr>
        <w:t xml:space="preserve">-панель на 24 порта и 1 оптическая </w:t>
      </w:r>
      <w:proofErr w:type="spellStart"/>
      <w:r>
        <w:rPr>
          <w:rFonts w:ascii="Times New Roman" w:hAnsi="Times New Roman"/>
          <w:sz w:val="24"/>
          <w:szCs w:val="24"/>
        </w:rPr>
        <w:t>патч</w:t>
      </w:r>
      <w:proofErr w:type="spellEnd"/>
      <w:r>
        <w:rPr>
          <w:rFonts w:ascii="Times New Roman" w:hAnsi="Times New Roman"/>
          <w:sz w:val="24"/>
          <w:szCs w:val="24"/>
        </w:rPr>
        <w:t>-панель на 12 портов;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соединение ЦОД с пользователями выполняется с помощью линий связи:</w:t>
      </w:r>
    </w:p>
    <w:tbl>
      <w:tblPr>
        <w:tblW w:w="7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686"/>
        <w:gridCol w:w="1620"/>
        <w:gridCol w:w="2182"/>
      </w:tblGrid>
      <w:tr w:rsidR="00E15380">
        <w:trPr>
          <w:jc w:val="center"/>
        </w:trPr>
        <w:tc>
          <w:tcPr>
            <w:tcW w:w="1155" w:type="dxa"/>
          </w:tcPr>
          <w:p w:rsidR="00E15380" w:rsidRDefault="005F5C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6" w:type="dxa"/>
          </w:tcPr>
          <w:p w:rsidR="00E15380" w:rsidRDefault="005F5C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Линия связи</w:t>
            </w:r>
          </w:p>
        </w:tc>
        <w:tc>
          <w:tcPr>
            <w:tcW w:w="1620" w:type="dxa"/>
          </w:tcPr>
          <w:p w:rsidR="00E15380" w:rsidRDefault="005F5C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жил</w:t>
            </w:r>
          </w:p>
        </w:tc>
        <w:tc>
          <w:tcPr>
            <w:tcW w:w="2182" w:type="dxa"/>
          </w:tcPr>
          <w:p w:rsidR="00E15380" w:rsidRDefault="005F5C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Длина линии, м</w:t>
            </w:r>
          </w:p>
        </w:tc>
      </w:tr>
      <w:tr w:rsidR="00E15380">
        <w:trPr>
          <w:jc w:val="center"/>
        </w:trPr>
        <w:tc>
          <w:tcPr>
            <w:tcW w:w="1155" w:type="dxa"/>
          </w:tcPr>
          <w:p w:rsidR="00E15380" w:rsidRDefault="005F5C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E15380" w:rsidRDefault="005F5C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оптическая</w:t>
            </w:r>
          </w:p>
        </w:tc>
        <w:tc>
          <w:tcPr>
            <w:tcW w:w="1620" w:type="dxa"/>
          </w:tcPr>
          <w:p w:rsidR="00E15380" w:rsidRDefault="005F5C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2" w:type="dxa"/>
          </w:tcPr>
          <w:p w:rsidR="00E15380" w:rsidRDefault="005F5C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E15380">
        <w:trPr>
          <w:jc w:val="center"/>
        </w:trPr>
        <w:tc>
          <w:tcPr>
            <w:tcW w:w="1155" w:type="dxa"/>
          </w:tcPr>
          <w:p w:rsidR="00E15380" w:rsidRDefault="005F5C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:rsidR="00E15380" w:rsidRDefault="005F5C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медная</w:t>
            </w:r>
          </w:p>
        </w:tc>
        <w:tc>
          <w:tcPr>
            <w:tcW w:w="1620" w:type="dxa"/>
          </w:tcPr>
          <w:p w:rsidR="00E15380" w:rsidRDefault="005F5C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2" w:type="dxa"/>
          </w:tcPr>
          <w:p w:rsidR="00E15380" w:rsidRDefault="005F5C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</w:tbl>
    <w:p w:rsidR="00E15380" w:rsidRDefault="00E15380">
      <w:pPr>
        <w:ind w:left="426" w:hanging="426"/>
        <w:rPr>
          <w:rFonts w:ascii="Times New Roman" w:hAnsi="Times New Roman"/>
          <w:sz w:val="24"/>
          <w:szCs w:val="24"/>
        </w:rPr>
      </w:pP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 прокладки линий связи согласовать с Заказчиком на этапе проектирования;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ввод СКС в ЦОД выполняется через </w:t>
      </w:r>
      <w:proofErr w:type="spellStart"/>
      <w:r>
        <w:rPr>
          <w:rFonts w:ascii="Times New Roman" w:hAnsi="Times New Roman"/>
          <w:sz w:val="24"/>
          <w:szCs w:val="24"/>
        </w:rPr>
        <w:t>гермовводы</w:t>
      </w:r>
      <w:proofErr w:type="spellEnd"/>
      <w:r>
        <w:rPr>
          <w:rFonts w:ascii="Times New Roman" w:hAnsi="Times New Roman"/>
          <w:sz w:val="24"/>
          <w:szCs w:val="24"/>
        </w:rPr>
        <w:t xml:space="preserve">, резервная емкость </w:t>
      </w:r>
      <w:proofErr w:type="spellStart"/>
      <w:r>
        <w:rPr>
          <w:rFonts w:ascii="Times New Roman" w:hAnsi="Times New Roman"/>
          <w:sz w:val="24"/>
          <w:szCs w:val="24"/>
        </w:rPr>
        <w:t>гермовводов</w:t>
      </w:r>
      <w:proofErr w:type="spellEnd"/>
      <w:r>
        <w:rPr>
          <w:rFonts w:ascii="Times New Roman" w:hAnsi="Times New Roman"/>
          <w:sz w:val="24"/>
          <w:szCs w:val="24"/>
        </w:rPr>
        <w:t xml:space="preserve"> должна быть не менее 50%.</w:t>
      </w:r>
    </w:p>
    <w:p w:rsidR="00E15380" w:rsidRDefault="005F5CE0">
      <w:pPr>
        <w:pStyle w:val="2"/>
        <w:spacing w:before="120" w:after="120"/>
        <w:rPr>
          <w:szCs w:val="24"/>
        </w:rPr>
      </w:pPr>
      <w:r>
        <w:rPr>
          <w:szCs w:val="24"/>
        </w:rPr>
        <w:lastRenderedPageBreak/>
        <w:t>Система мониторинга</w:t>
      </w:r>
    </w:p>
    <w:p w:rsidR="00E15380" w:rsidRDefault="005F5CE0">
      <w:pPr>
        <w:tabs>
          <w:tab w:val="left" w:pos="0"/>
        </w:tabs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мониторинга ЦОД предназначена для контроля, оповещения об авариях на инженерных системах ЦОД.</w:t>
      </w:r>
    </w:p>
    <w:p w:rsidR="00E15380" w:rsidRDefault="005F5CE0">
      <w:pPr>
        <w:tabs>
          <w:tab w:val="left" w:pos="0"/>
        </w:tabs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должна контролировать все инженерные системы ЦОД и обладать единым визуальным интерфейсом для каждой отдельной инженерной системы с отображением основных параметров всех контролируемых систем в «едином окне». Система должна быть интеллектуальной, т.е. выполнять определенные операции (оповещение об аварийных ситуациях, выполнение алгоритма устранение аварий в различных ситуациях) на основании анализа нескольких отдельно взятых параметров.</w:t>
      </w:r>
    </w:p>
    <w:p w:rsidR="00E15380" w:rsidRDefault="005F5CE0">
      <w:pPr>
        <w:tabs>
          <w:tab w:val="left" w:pos="0"/>
        </w:tabs>
        <w:ind w:firstLine="3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интерактивного контроля инженерных систем должна обеспечивать: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получения информации посредством WEB-интерфейса;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круглосуточное слежение за техническим состоянием инженерного оборудования в режиме </w:t>
      </w:r>
      <w:proofErr w:type="spellStart"/>
      <w:r>
        <w:rPr>
          <w:rFonts w:ascii="Times New Roman" w:hAnsi="Times New Roman"/>
          <w:sz w:val="24"/>
          <w:szCs w:val="24"/>
        </w:rPr>
        <w:t>on-line</w:t>
      </w:r>
      <w:proofErr w:type="spellEnd"/>
      <w:r>
        <w:rPr>
          <w:rFonts w:ascii="Times New Roman" w:hAnsi="Times New Roman"/>
          <w:sz w:val="24"/>
          <w:szCs w:val="24"/>
        </w:rPr>
        <w:t xml:space="preserve"> с передачей информации дежурным диспетчерам;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регистрацию и хранение событий;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 сообщений о выходе значений параметров за установленные пределы;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присвоение произошедшему событию определённого приоритета;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оперативное оповещение, в соответствии с регламентом, о возникновении события по электронной почте и посредством </w:t>
      </w:r>
      <w:proofErr w:type="spellStart"/>
      <w:r>
        <w:rPr>
          <w:rFonts w:ascii="Times New Roman" w:hAnsi="Times New Roman"/>
          <w:sz w:val="24"/>
          <w:szCs w:val="24"/>
        </w:rPr>
        <w:t>sms</w:t>
      </w:r>
      <w:proofErr w:type="spellEnd"/>
      <w:r>
        <w:rPr>
          <w:rFonts w:ascii="Times New Roman" w:hAnsi="Times New Roman"/>
          <w:sz w:val="24"/>
          <w:szCs w:val="24"/>
        </w:rPr>
        <w:t xml:space="preserve"> сообщений;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отключением сигналов тревоги на время проведения регламентных работ;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отслеживание температуры на входе в </w:t>
      </w:r>
      <w:proofErr w:type="gramStart"/>
      <w:r>
        <w:rPr>
          <w:rFonts w:ascii="Times New Roman" w:hAnsi="Times New Roman"/>
          <w:sz w:val="24"/>
          <w:szCs w:val="24"/>
        </w:rPr>
        <w:t>стойки,  влажность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на уровне горячего и холодного коридоров, оповещать диспетчера о фиксации потенциально опасных значений температуры и влажности;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отслеживание потребления тока для каждого модуля распределения питания в серверной стойке и оповещение ответственных лиц о ситуациях, грозящих возникновением перегрузки;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оповещение диспетчера о наличии/отсутствии питающего напряжения на оборудовании;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обслуживающему персоналу централизованной информации о качестве электропитания и распределении нагрузки по ЦОД в режиме "реального времени", а также сохранение этой информации в базу данных для возможного дальнейшего выяснения причин отказа оборудования.</w:t>
      </w:r>
    </w:p>
    <w:p w:rsidR="00E15380" w:rsidRDefault="005F5CE0">
      <w:pPr>
        <w:pStyle w:val="msolistparagraph0"/>
        <w:tabs>
          <w:tab w:val="left" w:pos="0"/>
        </w:tabs>
        <w:ind w:left="0"/>
        <w:jc w:val="both"/>
      </w:pPr>
      <w:bookmarkStart w:id="11" w:name="_Toc303839832"/>
      <w:bookmarkStart w:id="12" w:name="_Toc303839949"/>
      <w:bookmarkStart w:id="13" w:name="_Toc303839888"/>
      <w:bookmarkEnd w:id="11"/>
      <w:bookmarkEnd w:id="12"/>
      <w:bookmarkEnd w:id="13"/>
      <w:r>
        <w:t xml:space="preserve">Система должна оповещать диспетчера о </w:t>
      </w:r>
      <w:proofErr w:type="gramStart"/>
      <w:r>
        <w:t>срабатывании  пожарной</w:t>
      </w:r>
      <w:proofErr w:type="gramEnd"/>
      <w:r>
        <w:t xml:space="preserve"> сигнализации, охранной сигнализации и станции пожаротушения.</w:t>
      </w:r>
    </w:p>
    <w:p w:rsidR="00E15380" w:rsidRDefault="005F5CE0">
      <w:pPr>
        <w:pStyle w:val="Maintext"/>
        <w:spacing w:line="240" w:lineRule="auto"/>
        <w:ind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Система  мониторинга</w:t>
      </w:r>
      <w:proofErr w:type="gramEnd"/>
      <w:r>
        <w:rPr>
          <w:rFonts w:ascii="Times New Roman" w:hAnsi="Times New Roman" w:cs="Times New Roman"/>
        </w:rPr>
        <w:t xml:space="preserve"> ЦОД должна быть реализована по следующим принцам: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инженерные системы, подключаемые к системе мониторинга, должны быть оснащены Интерфейсом связи на базе протокола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LonWorks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интерфейс </w:t>
      </w:r>
      <w:proofErr w:type="gramStart"/>
      <w:r>
        <w:rPr>
          <w:rFonts w:ascii="Times New Roman" w:hAnsi="Times New Roman"/>
          <w:sz w:val="24"/>
          <w:szCs w:val="24"/>
        </w:rPr>
        <w:t>оператора  должен</w:t>
      </w:r>
      <w:proofErr w:type="gramEnd"/>
      <w:r>
        <w:rPr>
          <w:rFonts w:ascii="Times New Roman" w:hAnsi="Times New Roman"/>
          <w:sz w:val="24"/>
          <w:szCs w:val="24"/>
        </w:rPr>
        <w:t xml:space="preserve"> быть реализован на базе </w:t>
      </w:r>
      <w:r>
        <w:rPr>
          <w:rFonts w:ascii="Times New Roman" w:hAnsi="Times New Roman"/>
          <w:sz w:val="24"/>
          <w:szCs w:val="24"/>
          <w:lang w:val="en-US"/>
        </w:rPr>
        <w:t>SCADA</w:t>
      </w:r>
      <w:r>
        <w:rPr>
          <w:rFonts w:ascii="Times New Roman" w:hAnsi="Times New Roman"/>
          <w:sz w:val="24"/>
          <w:szCs w:val="24"/>
        </w:rPr>
        <w:t xml:space="preserve"> приложения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Citect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компании </w:t>
      </w:r>
      <w:r>
        <w:rPr>
          <w:rFonts w:ascii="Times New Roman" w:hAnsi="Times New Roman"/>
          <w:sz w:val="24"/>
          <w:szCs w:val="24"/>
          <w:lang w:val="en-US"/>
        </w:rPr>
        <w:t>Schneider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Electric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интеграция всех подсистем должна обеспечивается путем подключения всех ее компонентов через интерфейсы </w:t>
      </w:r>
      <w:proofErr w:type="spellStart"/>
      <w:r>
        <w:rPr>
          <w:rFonts w:ascii="Times New Roman" w:hAnsi="Times New Roman"/>
          <w:sz w:val="24"/>
          <w:szCs w:val="24"/>
        </w:rPr>
        <w:t>LonWorks</w:t>
      </w:r>
      <w:proofErr w:type="spellEnd"/>
      <w:r>
        <w:rPr>
          <w:rFonts w:ascii="Times New Roman" w:hAnsi="Times New Roman"/>
          <w:sz w:val="24"/>
          <w:szCs w:val="24"/>
        </w:rPr>
        <w:t xml:space="preserve"> к серверу мониторинга на базе </w:t>
      </w:r>
      <w:r>
        <w:rPr>
          <w:rFonts w:ascii="Times New Roman" w:hAnsi="Times New Roman"/>
          <w:sz w:val="24"/>
          <w:szCs w:val="24"/>
          <w:lang w:val="en-US"/>
        </w:rPr>
        <w:t>SCADA</w:t>
      </w:r>
      <w:r>
        <w:rPr>
          <w:rFonts w:ascii="Times New Roman" w:hAnsi="Times New Roman"/>
          <w:sz w:val="24"/>
          <w:szCs w:val="24"/>
        </w:rPr>
        <w:t xml:space="preserve"> приложения. 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доступ к параметрам системы должен быть основан на базе архитектуры Клиент-Сервер, «Тонкий клиент». Доступ к данным должен обеспечиваться из Клиента </w:t>
      </w:r>
      <w:r>
        <w:rPr>
          <w:rFonts w:ascii="Times New Roman" w:hAnsi="Times New Roman"/>
          <w:sz w:val="24"/>
          <w:szCs w:val="24"/>
          <w:lang w:val="en-US"/>
        </w:rPr>
        <w:t>SCADA</w:t>
      </w:r>
      <w:r>
        <w:rPr>
          <w:rFonts w:ascii="Times New Roman" w:hAnsi="Times New Roman"/>
          <w:sz w:val="24"/>
          <w:szCs w:val="24"/>
        </w:rPr>
        <w:t xml:space="preserve">-приложение к Серверу </w:t>
      </w:r>
      <w:r>
        <w:rPr>
          <w:rFonts w:ascii="Times New Roman" w:hAnsi="Times New Roman"/>
          <w:sz w:val="24"/>
          <w:szCs w:val="24"/>
          <w:lang w:val="en-US"/>
        </w:rPr>
        <w:t>SCADA</w:t>
      </w:r>
      <w:r>
        <w:rPr>
          <w:rFonts w:ascii="Times New Roman" w:hAnsi="Times New Roman"/>
          <w:sz w:val="24"/>
          <w:szCs w:val="24"/>
        </w:rPr>
        <w:t xml:space="preserve">-приложения. Доступ к данным системы диспетчеризации в архитектуре «Тонкий клиент» </w:t>
      </w:r>
      <w:proofErr w:type="gramStart"/>
      <w:r>
        <w:rPr>
          <w:rFonts w:ascii="Times New Roman" w:hAnsi="Times New Roman"/>
          <w:sz w:val="24"/>
          <w:szCs w:val="24"/>
        </w:rPr>
        <w:t>должен  осуществляться</w:t>
      </w:r>
      <w:proofErr w:type="gramEnd"/>
      <w:r>
        <w:rPr>
          <w:rFonts w:ascii="Times New Roman" w:hAnsi="Times New Roman"/>
          <w:sz w:val="24"/>
          <w:szCs w:val="24"/>
        </w:rPr>
        <w:t xml:space="preserve"> через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>-интерфейс;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сервер </w:t>
      </w:r>
      <w:r>
        <w:rPr>
          <w:rFonts w:ascii="Times New Roman" w:hAnsi="Times New Roman"/>
          <w:sz w:val="24"/>
          <w:szCs w:val="24"/>
          <w:lang w:val="en-US"/>
        </w:rPr>
        <w:t>SCADA</w:t>
      </w:r>
      <w:r>
        <w:rPr>
          <w:rFonts w:ascii="Times New Roman" w:hAnsi="Times New Roman"/>
          <w:sz w:val="24"/>
          <w:szCs w:val="24"/>
        </w:rPr>
        <w:t xml:space="preserve">-приложения должен обеспечивать организацию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 xml:space="preserve">- интерфейса,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sms</w:t>
      </w:r>
      <w:proofErr w:type="spellEnd"/>
      <w:r>
        <w:rPr>
          <w:rFonts w:ascii="Times New Roman" w:hAnsi="Times New Roman"/>
          <w:sz w:val="24"/>
          <w:szCs w:val="24"/>
        </w:rPr>
        <w:t xml:space="preserve"> – информирования, доступа к интерактивным сервисам.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каждой инженерной подсистемы должны быть разработаны алгоритмы локального управления (автоматический режим). Человеко-машинный интерфейс установки параметров контроля и управления функциями системы должен быть реализован на основе решения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iDom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физических параметров ЦОД должен обеспечиваться оборудованием телеметрии комплекса интеграции </w:t>
      </w:r>
      <w:r>
        <w:rPr>
          <w:rFonts w:ascii="Times New Roman" w:hAnsi="Times New Roman"/>
          <w:sz w:val="24"/>
          <w:szCs w:val="24"/>
          <w:lang w:val="en-US"/>
        </w:rPr>
        <w:t>Melissa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TM</w:t>
      </w:r>
      <w:r>
        <w:rPr>
          <w:rFonts w:ascii="Times New Roman" w:hAnsi="Times New Roman"/>
          <w:sz w:val="24"/>
          <w:szCs w:val="24"/>
        </w:rPr>
        <w:t xml:space="preserve"> с передачей данных </w:t>
      </w:r>
      <w:proofErr w:type="gramStart"/>
      <w:r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/>
          <w:sz w:val="24"/>
          <w:szCs w:val="24"/>
          <w:lang w:val="en-US"/>
        </w:rPr>
        <w:t>SCADA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Citect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доступ инженерных систем к серверу SCADA-приложения обеспечивается через Шлюзы </w:t>
      </w:r>
      <w:proofErr w:type="spellStart"/>
      <w:r>
        <w:rPr>
          <w:rFonts w:ascii="Times New Roman" w:hAnsi="Times New Roman"/>
          <w:sz w:val="24"/>
          <w:szCs w:val="24"/>
        </w:rPr>
        <w:t>LonWorks</w:t>
      </w:r>
      <w:proofErr w:type="spellEnd"/>
      <w:r>
        <w:rPr>
          <w:rFonts w:ascii="Times New Roman" w:hAnsi="Times New Roman"/>
          <w:sz w:val="24"/>
          <w:szCs w:val="24"/>
        </w:rPr>
        <w:t xml:space="preserve">- TCP/IP,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LonWorks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Modbus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RTU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LonWorks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VRF</w:t>
      </w:r>
      <w:r>
        <w:rPr>
          <w:rFonts w:ascii="Times New Roman" w:hAnsi="Times New Roman"/>
          <w:sz w:val="24"/>
          <w:szCs w:val="24"/>
        </w:rPr>
        <w:t xml:space="preserve"> Сервер SCADA-приложения подключается к единой локальной сети здания.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параметров всех инженерных систем должен быть реализован сервером </w:t>
      </w:r>
      <w:r>
        <w:rPr>
          <w:rFonts w:ascii="Times New Roman" w:hAnsi="Times New Roman"/>
          <w:sz w:val="24"/>
          <w:szCs w:val="24"/>
          <w:lang w:val="en-US"/>
        </w:rPr>
        <w:t>SCADA</w:t>
      </w:r>
      <w:r>
        <w:rPr>
          <w:rFonts w:ascii="Times New Roman" w:hAnsi="Times New Roman"/>
          <w:sz w:val="24"/>
          <w:szCs w:val="24"/>
        </w:rPr>
        <w:t>-приложения.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севере </w:t>
      </w:r>
      <w:r>
        <w:rPr>
          <w:rFonts w:ascii="Times New Roman" w:hAnsi="Times New Roman"/>
          <w:sz w:val="24"/>
          <w:szCs w:val="24"/>
          <w:lang w:val="en-US"/>
        </w:rPr>
        <w:t>SCADA</w:t>
      </w: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приложения  должен</w:t>
      </w:r>
      <w:proofErr w:type="gramEnd"/>
      <w:r>
        <w:rPr>
          <w:rFonts w:ascii="Times New Roman" w:hAnsi="Times New Roman"/>
          <w:sz w:val="24"/>
          <w:szCs w:val="24"/>
        </w:rPr>
        <w:t xml:space="preserve"> быть предусмотрен различный уровень доступа к информации различных групп пользователей (оператор, диспетчер (вахтер), инженер).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сервер </w:t>
      </w:r>
      <w:r>
        <w:rPr>
          <w:rFonts w:ascii="Times New Roman" w:hAnsi="Times New Roman"/>
          <w:sz w:val="24"/>
          <w:szCs w:val="24"/>
          <w:lang w:val="en-US"/>
        </w:rPr>
        <w:t>SCADA</w:t>
      </w:r>
      <w:r>
        <w:rPr>
          <w:rFonts w:ascii="Times New Roman" w:hAnsi="Times New Roman"/>
          <w:sz w:val="24"/>
          <w:szCs w:val="24"/>
        </w:rPr>
        <w:t>-приложения должен обеспечивать подключение до 5-ти пользователей с локальным и удаленным доступом.</w:t>
      </w:r>
    </w:p>
    <w:p w:rsidR="00E15380" w:rsidRDefault="005F5CE0">
      <w:pPr>
        <w:pStyle w:val="1"/>
        <w:rPr>
          <w:rFonts w:ascii="Times New Roman" w:hAnsi="Times New Roman"/>
          <w:szCs w:val="24"/>
        </w:rPr>
      </w:pPr>
      <w:bookmarkStart w:id="14" w:name="_Toc5077"/>
      <w:r>
        <w:rPr>
          <w:rFonts w:ascii="Times New Roman" w:hAnsi="Times New Roman"/>
          <w:szCs w:val="24"/>
        </w:rPr>
        <w:t>Сметная документация</w:t>
      </w:r>
      <w:bookmarkEnd w:id="14"/>
    </w:p>
    <w:p w:rsidR="00E15380" w:rsidRDefault="005F5CE0">
      <w:pPr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Данный раздел должен содержать сметные расчеты по объекту строительства, выполненные на основании государственных норм и расценок, и включать в себя: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пояснительную записку;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сводный сметный расчёт стоимости строительства объекта;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объектный сметный расчёт;</w:t>
      </w:r>
    </w:p>
    <w:p w:rsidR="00E15380" w:rsidRDefault="005F5CE0">
      <w:pPr>
        <w:pStyle w:val="11"/>
        <w:ind w:leftChars="200" w:left="412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локальные сметные расчёты по разделам строительства.</w:t>
      </w:r>
    </w:p>
    <w:p w:rsidR="00E15380" w:rsidRDefault="00E15380">
      <w:pPr>
        <w:rPr>
          <w:rFonts w:ascii="Times New Roman" w:hAnsi="Times New Roman"/>
          <w:sz w:val="24"/>
          <w:szCs w:val="24"/>
        </w:rPr>
      </w:pPr>
    </w:p>
    <w:sectPr w:rsidR="00E15380">
      <w:pgSz w:w="11906" w:h="16838"/>
      <w:pgMar w:top="1134" w:right="92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scherk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altName w:val="Segoe Print"/>
    <w:charset w:val="CC"/>
    <w:family w:val="swiss"/>
    <w:pitch w:val="default"/>
    <w:sig w:usb0="00000000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387"/>
    <w:multiLevelType w:val="multilevel"/>
    <w:tmpl w:val="06FF1387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pStyle w:val="2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33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EE1FD2"/>
    <w:multiLevelType w:val="multilevel"/>
    <w:tmpl w:val="10EE1FD2"/>
    <w:lvl w:ilvl="0">
      <w:start w:val="1"/>
      <w:numFmt w:val="decimal"/>
      <w:pStyle w:val="1"/>
      <w:lvlText w:val="%1."/>
      <w:lvlJc w:val="left"/>
      <w:pPr>
        <w:ind w:left="2136" w:hanging="72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pStyle w:val="10"/>
      <w:isLgl/>
      <w:lvlText w:val="%1.%2.%3."/>
      <w:lvlJc w:val="left"/>
      <w:pPr>
        <w:ind w:left="2496" w:hanging="1080"/>
      </w:pPr>
      <w:rPr>
        <w:rFonts w:hint="default"/>
        <w:b w:val="0"/>
        <w:lang w:val="ru-RU"/>
      </w:rPr>
    </w:lvl>
    <w:lvl w:ilvl="3">
      <w:start w:val="1"/>
      <w:numFmt w:val="decimal"/>
      <w:pStyle w:val="44"/>
      <w:isLgl/>
      <w:lvlText w:val="%1.%2.%3.%4."/>
      <w:lvlJc w:val="left"/>
      <w:pPr>
        <w:ind w:left="2856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6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2880"/>
      </w:pPr>
      <w:rPr>
        <w:rFonts w:hint="default"/>
      </w:rPr>
    </w:lvl>
  </w:abstractNum>
  <w:abstractNum w:abstractNumId="2" w15:restartNumberingAfterBreak="0">
    <w:nsid w:val="25126248"/>
    <w:multiLevelType w:val="multilevel"/>
    <w:tmpl w:val="25126248"/>
    <w:lvl w:ilvl="0">
      <w:start w:val="1"/>
      <w:numFmt w:val="decimal"/>
      <w:lvlText w:val="%1 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20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EAC527D"/>
    <w:multiLevelType w:val="multilevel"/>
    <w:tmpl w:val="4EAC527D"/>
    <w:lvl w:ilvl="0">
      <w:start w:val="1"/>
      <w:numFmt w:val="decimal"/>
      <w:lvlText w:val="%1 "/>
      <w:lvlJc w:val="left"/>
      <w:pPr>
        <w:tabs>
          <w:tab w:val="left" w:pos="5246"/>
        </w:tabs>
        <w:ind w:left="5246" w:firstLine="0"/>
      </w:pPr>
      <w:rPr>
        <w:rFonts w:hint="default"/>
      </w:rPr>
    </w:lvl>
    <w:lvl w:ilvl="1">
      <w:start w:val="1"/>
      <w:numFmt w:val="decimal"/>
      <w:pStyle w:val="StyleHeading2"/>
      <w:lvlText w:val="%1.%2 "/>
      <w:lvlJc w:val="left"/>
      <w:pPr>
        <w:tabs>
          <w:tab w:val="left" w:pos="4537"/>
        </w:tabs>
        <w:ind w:left="4537" w:firstLine="0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68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left" w:pos="2356"/>
        </w:tabs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59E61FBC"/>
    <w:multiLevelType w:val="multilevel"/>
    <w:tmpl w:val="59E61FBC"/>
    <w:lvl w:ilvl="0">
      <w:start w:val="1"/>
      <w:numFmt w:val="bullet"/>
      <w:pStyle w:val="11"/>
      <w:lvlText w:val="-"/>
      <w:lvlJc w:val="left"/>
      <w:pPr>
        <w:ind w:left="4613" w:hanging="360"/>
      </w:pPr>
      <w:rPr>
        <w:rFonts w:ascii="Symbol" w:hAnsi="Symbol" w:cs="Gautami" w:hint="default"/>
        <w:color w:val="auto"/>
        <w:sz w:val="24"/>
        <w:szCs w:val="16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8EA1C45"/>
    <w:multiLevelType w:val="multilevel"/>
    <w:tmpl w:val="68EA1C45"/>
    <w:lvl w:ilvl="0">
      <w:start w:val="1"/>
      <w:numFmt w:val="decimal"/>
      <w:pStyle w:val="12"/>
      <w:lvlText w:val="%1."/>
      <w:lvlJc w:val="left"/>
      <w:pPr>
        <w:tabs>
          <w:tab w:val="left" w:pos="502"/>
        </w:tabs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pStyle w:val="21"/>
      <w:lvlText w:val="%1.%2."/>
      <w:lvlJc w:val="left"/>
      <w:pPr>
        <w:tabs>
          <w:tab w:val="left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hint="default"/>
        <w:lang w:val="ru-RU"/>
      </w:rPr>
    </w:lvl>
    <w:lvl w:ilvl="4">
      <w:start w:val="1"/>
      <w:numFmt w:val="decimal"/>
      <w:lvlText w:val="%1.%2.%3.%4.%5."/>
      <w:lvlJc w:val="left"/>
      <w:pPr>
        <w:tabs>
          <w:tab w:val="left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777"/>
    <w:rsid w:val="000027FD"/>
    <w:rsid w:val="000456C2"/>
    <w:rsid w:val="00062483"/>
    <w:rsid w:val="00074F4E"/>
    <w:rsid w:val="000873C9"/>
    <w:rsid w:val="00097124"/>
    <w:rsid w:val="000C1015"/>
    <w:rsid w:val="000E1D53"/>
    <w:rsid w:val="000E51A7"/>
    <w:rsid w:val="00172A27"/>
    <w:rsid w:val="001C3E10"/>
    <w:rsid w:val="001F374E"/>
    <w:rsid w:val="001F6210"/>
    <w:rsid w:val="002246D7"/>
    <w:rsid w:val="0025169B"/>
    <w:rsid w:val="002C0FBC"/>
    <w:rsid w:val="00377D15"/>
    <w:rsid w:val="00395092"/>
    <w:rsid w:val="003C135F"/>
    <w:rsid w:val="003C4CA4"/>
    <w:rsid w:val="004371EA"/>
    <w:rsid w:val="00451752"/>
    <w:rsid w:val="004555F1"/>
    <w:rsid w:val="00464195"/>
    <w:rsid w:val="00465E90"/>
    <w:rsid w:val="004C7C67"/>
    <w:rsid w:val="00527161"/>
    <w:rsid w:val="00565CDE"/>
    <w:rsid w:val="00572F6D"/>
    <w:rsid w:val="005B7A2B"/>
    <w:rsid w:val="005F5CE0"/>
    <w:rsid w:val="00616959"/>
    <w:rsid w:val="00635FE9"/>
    <w:rsid w:val="00646514"/>
    <w:rsid w:val="006C35EC"/>
    <w:rsid w:val="006C3BC7"/>
    <w:rsid w:val="006D156B"/>
    <w:rsid w:val="006D256F"/>
    <w:rsid w:val="006F2139"/>
    <w:rsid w:val="00715C85"/>
    <w:rsid w:val="00770DAD"/>
    <w:rsid w:val="007B4978"/>
    <w:rsid w:val="007C5F5C"/>
    <w:rsid w:val="007C63AD"/>
    <w:rsid w:val="008126B8"/>
    <w:rsid w:val="00816737"/>
    <w:rsid w:val="00816F46"/>
    <w:rsid w:val="008850EF"/>
    <w:rsid w:val="00886C7A"/>
    <w:rsid w:val="008942C6"/>
    <w:rsid w:val="008B2A74"/>
    <w:rsid w:val="008C5104"/>
    <w:rsid w:val="008D71D6"/>
    <w:rsid w:val="008E6261"/>
    <w:rsid w:val="00915BD1"/>
    <w:rsid w:val="00922299"/>
    <w:rsid w:val="00982D48"/>
    <w:rsid w:val="009B0046"/>
    <w:rsid w:val="00A12276"/>
    <w:rsid w:val="00A1301D"/>
    <w:rsid w:val="00A1699C"/>
    <w:rsid w:val="00A31D02"/>
    <w:rsid w:val="00A72C8A"/>
    <w:rsid w:val="00AD5B74"/>
    <w:rsid w:val="00B136E5"/>
    <w:rsid w:val="00B428DF"/>
    <w:rsid w:val="00B47487"/>
    <w:rsid w:val="00B54FAE"/>
    <w:rsid w:val="00BB6F1B"/>
    <w:rsid w:val="00BC103E"/>
    <w:rsid w:val="00BE49C2"/>
    <w:rsid w:val="00BE508E"/>
    <w:rsid w:val="00BF50E8"/>
    <w:rsid w:val="00C20F62"/>
    <w:rsid w:val="00C21522"/>
    <w:rsid w:val="00C429CA"/>
    <w:rsid w:val="00CF1E2E"/>
    <w:rsid w:val="00D35BAD"/>
    <w:rsid w:val="00D40D51"/>
    <w:rsid w:val="00D47F4C"/>
    <w:rsid w:val="00D801B9"/>
    <w:rsid w:val="00D93E05"/>
    <w:rsid w:val="00DE30FB"/>
    <w:rsid w:val="00DE3511"/>
    <w:rsid w:val="00DF0629"/>
    <w:rsid w:val="00E07596"/>
    <w:rsid w:val="00E15380"/>
    <w:rsid w:val="00E36E87"/>
    <w:rsid w:val="00E521E8"/>
    <w:rsid w:val="00E54BE6"/>
    <w:rsid w:val="00E633C2"/>
    <w:rsid w:val="00EC0B80"/>
    <w:rsid w:val="00EE3500"/>
    <w:rsid w:val="00F346CD"/>
    <w:rsid w:val="00F43A44"/>
    <w:rsid w:val="00F56E8A"/>
    <w:rsid w:val="00F938A7"/>
    <w:rsid w:val="0BC3756E"/>
    <w:rsid w:val="11342A99"/>
    <w:rsid w:val="15F723BD"/>
    <w:rsid w:val="20360CE0"/>
    <w:rsid w:val="2D4A01A8"/>
    <w:rsid w:val="431F7C8A"/>
    <w:rsid w:val="45FD29CB"/>
    <w:rsid w:val="51034033"/>
    <w:rsid w:val="522435D3"/>
    <w:rsid w:val="547E1126"/>
    <w:rsid w:val="54EC5020"/>
    <w:rsid w:val="57B93188"/>
    <w:rsid w:val="5D214725"/>
    <w:rsid w:val="665610F8"/>
    <w:rsid w:val="7F4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FB2E7-2D06-4538-B7E5-2599575B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RoscherkDL" w:eastAsia="Times New Roman" w:hAnsi="RoscherkDL"/>
    </w:rPr>
  </w:style>
  <w:style w:type="paragraph" w:styleId="13">
    <w:name w:val="heading 1"/>
    <w:next w:val="a"/>
    <w:uiPriority w:val="9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0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0">
    <w:name w:val="heading 3"/>
    <w:next w:val="a"/>
    <w:uiPriority w:val="9"/>
    <w:semiHidden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qFormat/>
    <w:pPr>
      <w:ind w:firstLine="397"/>
      <w:jc w:val="left"/>
    </w:pPr>
    <w:rPr>
      <w:rFonts w:ascii="Courier New" w:hAnsi="Courier New"/>
    </w:rPr>
  </w:style>
  <w:style w:type="paragraph" w:styleId="a7">
    <w:name w:val="caption"/>
    <w:basedOn w:val="a"/>
    <w:next w:val="a"/>
    <w:unhideWhenUsed/>
    <w:qFormat/>
    <w:pPr>
      <w:ind w:firstLine="397"/>
      <w:jc w:val="left"/>
    </w:pPr>
    <w:rPr>
      <w:rFonts w:ascii="Verdana" w:hAnsi="Verdana"/>
      <w:b/>
      <w:bCs/>
    </w:rPr>
  </w:style>
  <w:style w:type="paragraph" w:styleId="a8">
    <w:name w:val="annotation text"/>
    <w:basedOn w:val="a"/>
    <w:link w:val="a9"/>
    <w:uiPriority w:val="99"/>
    <w:unhideWhenUsed/>
    <w:qFormat/>
  </w:style>
  <w:style w:type="paragraph" w:styleId="aa">
    <w:name w:val="annotation subject"/>
    <w:basedOn w:val="a8"/>
    <w:next w:val="a8"/>
    <w:link w:val="ab"/>
    <w:uiPriority w:val="99"/>
    <w:unhideWhenUsed/>
    <w:qFormat/>
    <w:rPr>
      <w:b/>
      <w:bCs/>
    </w:rPr>
  </w:style>
  <w:style w:type="paragraph" w:styleId="ac">
    <w:name w:val="Body Text"/>
    <w:basedOn w:val="a"/>
    <w:link w:val="ad"/>
    <w:qFormat/>
    <w:pPr>
      <w:spacing w:after="120"/>
      <w:ind w:firstLine="397"/>
      <w:jc w:val="left"/>
    </w:pPr>
    <w:rPr>
      <w:rFonts w:ascii="Verdana" w:hAnsi="Verdana"/>
    </w:rPr>
  </w:style>
  <w:style w:type="paragraph" w:styleId="14">
    <w:name w:val="toc 1"/>
    <w:basedOn w:val="a"/>
    <w:next w:val="a"/>
    <w:uiPriority w:val="39"/>
    <w:qFormat/>
    <w:pPr>
      <w:ind w:firstLine="397"/>
      <w:jc w:val="left"/>
    </w:pPr>
    <w:rPr>
      <w:rFonts w:ascii="Verdana" w:hAnsi="Verdana"/>
    </w:rPr>
  </w:style>
  <w:style w:type="paragraph" w:styleId="ae">
    <w:name w:val="Normal (Web)"/>
    <w:basedOn w:val="a"/>
    <w:uiPriority w:val="99"/>
    <w:qFormat/>
    <w:pPr>
      <w:autoSpaceDE w:val="0"/>
      <w:autoSpaceDN w:val="0"/>
      <w:adjustRightInd w:val="0"/>
      <w:spacing w:before="150" w:after="100" w:afterAutospacing="1"/>
      <w:ind w:left="300" w:right="300"/>
      <w:jc w:val="left"/>
    </w:pPr>
    <w:rPr>
      <w:color w:val="000000"/>
      <w:sz w:val="18"/>
      <w:szCs w:val="18"/>
    </w:rPr>
  </w:style>
  <w:style w:type="character" w:styleId="af">
    <w:name w:val="annotation reference"/>
    <w:basedOn w:val="a0"/>
    <w:uiPriority w:val="99"/>
    <w:unhideWhenUsed/>
    <w:qFormat/>
    <w:rPr>
      <w:sz w:val="16"/>
      <w:szCs w:val="16"/>
    </w:rPr>
  </w:style>
  <w:style w:type="character" w:styleId="af0">
    <w:name w:val="Hyperlink"/>
    <w:uiPriority w:val="99"/>
    <w:qFormat/>
    <w:rPr>
      <w:color w:val="800000"/>
      <w:u w:val="single"/>
    </w:rPr>
  </w:style>
  <w:style w:type="character" w:styleId="af1">
    <w:name w:val="Strong"/>
    <w:uiPriority w:val="22"/>
    <w:qFormat/>
    <w:rPr>
      <w:b/>
      <w:bCs/>
    </w:rPr>
  </w:style>
  <w:style w:type="table" w:styleId="af2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qFormat/>
    <w:pPr>
      <w:ind w:left="720"/>
      <w:jc w:val="left"/>
    </w:pPr>
    <w:rPr>
      <w:rFonts w:ascii="Times New Roman" w:hAnsi="Times New Roman"/>
      <w:sz w:val="24"/>
      <w:szCs w:val="24"/>
      <w:lang w:bidi="mr-IN"/>
    </w:rPr>
  </w:style>
  <w:style w:type="character" w:customStyle="1" w:styleId="a6">
    <w:name w:val="Текст Знак"/>
    <w:basedOn w:val="a0"/>
    <w:link w:val="a5"/>
    <w:uiPriority w:val="99"/>
    <w:qFormat/>
    <w:rPr>
      <w:rFonts w:ascii="Courier New" w:eastAsia="Times New Roman" w:hAnsi="Courier New" w:cs="Times New Roman"/>
      <w:sz w:val="20"/>
      <w:szCs w:val="20"/>
    </w:rPr>
  </w:style>
  <w:style w:type="paragraph" w:customStyle="1" w:styleId="23">
    <w:name w:val="2абзац"/>
    <w:basedOn w:val="a"/>
    <w:link w:val="24"/>
    <w:qFormat/>
    <w:pPr>
      <w:tabs>
        <w:tab w:val="left" w:pos="1571"/>
      </w:tabs>
      <w:ind w:left="1355" w:hanging="504"/>
    </w:pPr>
    <w:rPr>
      <w:rFonts w:ascii="Times New Roman" w:hAnsi="Times New Roman"/>
    </w:rPr>
  </w:style>
  <w:style w:type="paragraph" w:customStyle="1" w:styleId="31">
    <w:name w:val="3абзац"/>
    <w:basedOn w:val="23"/>
    <w:link w:val="32"/>
    <w:qFormat/>
    <w:pPr>
      <w:tabs>
        <w:tab w:val="left" w:pos="2988"/>
      </w:tabs>
    </w:pPr>
  </w:style>
  <w:style w:type="character" w:customStyle="1" w:styleId="24">
    <w:name w:val="2абзац Знак"/>
    <w:link w:val="23"/>
    <w:qFormat/>
    <w:locked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3абзац Знак"/>
    <w:link w:val="31"/>
    <w:locked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qFormat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3">
    <w:name w:val="Обычный без отступа"/>
    <w:basedOn w:val="a"/>
    <w:next w:val="a"/>
    <w:qFormat/>
    <w:pPr>
      <w:widowControl w:val="0"/>
      <w:spacing w:before="60" w:after="60"/>
      <w:ind w:firstLine="397"/>
    </w:pPr>
    <w:rPr>
      <w:rFonts w:ascii="Verdana" w:hAnsi="Verdana"/>
    </w:rPr>
  </w:style>
  <w:style w:type="paragraph" w:customStyle="1" w:styleId="15">
    <w:name w:val="Абзац списка1"/>
    <w:basedOn w:val="a"/>
    <w:uiPriority w:val="34"/>
    <w:qFormat/>
    <w:pPr>
      <w:ind w:left="708" w:firstLine="397"/>
      <w:jc w:val="left"/>
    </w:pPr>
    <w:rPr>
      <w:rFonts w:ascii="Verdana" w:hAnsi="Verdana"/>
    </w:rPr>
  </w:style>
  <w:style w:type="paragraph" w:customStyle="1" w:styleId="1">
    <w:name w:val="Заголовок 1 уровня"/>
    <w:basedOn w:val="a"/>
    <w:link w:val="16"/>
    <w:qFormat/>
    <w:pPr>
      <w:numPr>
        <w:numId w:val="2"/>
      </w:numPr>
      <w:jc w:val="left"/>
      <w:outlineLvl w:val="0"/>
    </w:pPr>
    <w:rPr>
      <w:rFonts w:ascii="Verdana" w:hAnsi="Verdana"/>
      <w:b/>
      <w:sz w:val="24"/>
    </w:rPr>
  </w:style>
  <w:style w:type="paragraph" w:customStyle="1" w:styleId="2">
    <w:name w:val="Заголовок 2 уровня"/>
    <w:basedOn w:val="a"/>
    <w:link w:val="25"/>
    <w:qFormat/>
    <w:pPr>
      <w:numPr>
        <w:ilvl w:val="1"/>
        <w:numId w:val="2"/>
      </w:numPr>
      <w:spacing w:beforeLines="50" w:before="50" w:afterLines="50" w:after="50"/>
      <w:ind w:left="2137"/>
      <w:jc w:val="left"/>
    </w:pPr>
    <w:rPr>
      <w:rFonts w:ascii="Times New Roman" w:hAnsi="Times New Roman"/>
      <w:b/>
      <w:sz w:val="24"/>
    </w:rPr>
  </w:style>
  <w:style w:type="character" w:customStyle="1" w:styleId="16">
    <w:name w:val="Заголовок 1 уровня Знак"/>
    <w:link w:val="1"/>
    <w:qFormat/>
    <w:rPr>
      <w:rFonts w:ascii="Verdana" w:eastAsia="Times New Roman" w:hAnsi="Verdana" w:cs="Times New Roman"/>
      <w:b/>
      <w:sz w:val="24"/>
      <w:szCs w:val="20"/>
    </w:rPr>
  </w:style>
  <w:style w:type="character" w:customStyle="1" w:styleId="25">
    <w:name w:val="Заголовок 2 уровня Знак"/>
    <w:link w:val="2"/>
    <w:qFormat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">
    <w:name w:val="Заголовок1"/>
    <w:basedOn w:val="a"/>
    <w:link w:val="af4"/>
    <w:qFormat/>
    <w:pPr>
      <w:numPr>
        <w:ilvl w:val="2"/>
        <w:numId w:val="2"/>
      </w:numPr>
      <w:spacing w:beforeLines="50" w:before="50" w:afterLines="50" w:after="50"/>
      <w:ind w:left="2500" w:hanging="1083"/>
      <w:jc w:val="left"/>
    </w:pPr>
    <w:rPr>
      <w:rFonts w:ascii="Times New Roman" w:hAnsi="Times New Roman"/>
      <w:i/>
      <w:sz w:val="24"/>
    </w:rPr>
  </w:style>
  <w:style w:type="character" w:customStyle="1" w:styleId="af4">
    <w:name w:val="Заголовок Знак"/>
    <w:link w:val="10"/>
    <w:qFormat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22">
    <w:name w:val="Заголовок 22"/>
    <w:basedOn w:val="a"/>
    <w:qFormat/>
    <w:pPr>
      <w:numPr>
        <w:ilvl w:val="1"/>
        <w:numId w:val="3"/>
      </w:numPr>
      <w:spacing w:before="100" w:beforeAutospacing="1" w:after="100" w:afterAutospacing="1"/>
      <w:jc w:val="left"/>
      <w:outlineLvl w:val="3"/>
    </w:pPr>
    <w:rPr>
      <w:rFonts w:ascii="Verdana" w:hAnsi="Verdana"/>
      <w:b/>
      <w:bCs/>
      <w:spacing w:val="-9"/>
      <w:sz w:val="22"/>
      <w:szCs w:val="24"/>
      <w:lang w:val="en-US" w:eastAsia="en-US"/>
    </w:rPr>
  </w:style>
  <w:style w:type="paragraph" w:customStyle="1" w:styleId="33">
    <w:name w:val="Заголовок 33"/>
    <w:basedOn w:val="22"/>
    <w:qFormat/>
    <w:pPr>
      <w:numPr>
        <w:ilvl w:val="2"/>
      </w:numPr>
      <w:spacing w:after="0" w:afterAutospacing="0"/>
      <w:ind w:left="1225" w:hanging="505"/>
    </w:pPr>
    <w:rPr>
      <w:sz w:val="20"/>
      <w:szCs w:val="20"/>
      <w:lang w:val="ru-RU"/>
    </w:rPr>
  </w:style>
  <w:style w:type="paragraph" w:customStyle="1" w:styleId="44">
    <w:name w:val="Заголовок 44"/>
    <w:basedOn w:val="10"/>
    <w:link w:val="440"/>
    <w:qFormat/>
    <w:pPr>
      <w:numPr>
        <w:ilvl w:val="3"/>
      </w:numPr>
    </w:pPr>
  </w:style>
  <w:style w:type="character" w:customStyle="1" w:styleId="440">
    <w:name w:val="Заголовок 44 Знак"/>
    <w:basedOn w:val="af4"/>
    <w:link w:val="44"/>
    <w:qFormat/>
    <w:rPr>
      <w:rFonts w:ascii="Verdana" w:eastAsia="Times New Roman" w:hAnsi="Verdana" w:cs="Times New Roman"/>
      <w:i/>
      <w:sz w:val="20"/>
      <w:szCs w:val="20"/>
    </w:rPr>
  </w:style>
  <w:style w:type="paragraph" w:customStyle="1" w:styleId="12">
    <w:name w:val="Стиль1"/>
    <w:basedOn w:val="a"/>
    <w:qFormat/>
    <w:pPr>
      <w:numPr>
        <w:numId w:val="4"/>
      </w:numPr>
      <w:overflowPunct w:val="0"/>
      <w:autoSpaceDE w:val="0"/>
      <w:autoSpaceDN w:val="0"/>
      <w:adjustRightInd w:val="0"/>
      <w:jc w:val="left"/>
      <w:textAlignment w:val="baseline"/>
    </w:pPr>
    <w:rPr>
      <w:rFonts w:ascii="Verdana" w:hAnsi="Verdana"/>
      <w:b/>
      <w:sz w:val="24"/>
      <w:szCs w:val="24"/>
    </w:rPr>
  </w:style>
  <w:style w:type="paragraph" w:customStyle="1" w:styleId="21">
    <w:name w:val="Стиль2"/>
    <w:basedOn w:val="12"/>
    <w:qFormat/>
    <w:pPr>
      <w:numPr>
        <w:ilvl w:val="1"/>
      </w:numPr>
      <w:jc w:val="both"/>
    </w:pPr>
    <w:rPr>
      <w:i/>
      <w:sz w:val="22"/>
      <w:szCs w:val="22"/>
    </w:rPr>
  </w:style>
  <w:style w:type="paragraph" w:customStyle="1" w:styleId="3">
    <w:name w:val="Стиль3"/>
    <w:basedOn w:val="21"/>
    <w:qFormat/>
    <w:pPr>
      <w:numPr>
        <w:ilvl w:val="2"/>
      </w:numPr>
    </w:pPr>
    <w:rPr>
      <w:b w:val="0"/>
      <w:bCs/>
      <w:iCs/>
      <w:color w:val="000000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ascii="RoscherkDL" w:eastAsia="Times New Roman" w:hAnsi="RoscherkDL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RoscherkDL" w:eastAsia="Times New Roman" w:hAnsi="RoscherkDL" w:cs="Times New Roman"/>
      <w:b/>
      <w:bCs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aintext">
    <w:name w:val="Main_text"/>
    <w:basedOn w:val="a"/>
    <w:qFormat/>
    <w:pPr>
      <w:suppressAutoHyphens/>
      <w:spacing w:line="360" w:lineRule="auto"/>
      <w:ind w:firstLine="710"/>
      <w:jc w:val="left"/>
    </w:pPr>
    <w:rPr>
      <w:rFonts w:ascii="ISOCPEUR" w:eastAsia="Calibri" w:hAnsi="ISOCPEUR" w:cs="Mangal"/>
      <w:kern w:val="2"/>
      <w:sz w:val="24"/>
      <w:szCs w:val="24"/>
      <w:lang w:eastAsia="hi-IN" w:bidi="hi-IN"/>
    </w:rPr>
  </w:style>
  <w:style w:type="paragraph" w:customStyle="1" w:styleId="StyleHeading2">
    <w:name w:val="Style Heading 2 +"/>
    <w:basedOn w:val="20"/>
    <w:qFormat/>
    <w:pPr>
      <w:keepNext w:val="0"/>
      <w:numPr>
        <w:numId w:val="5"/>
      </w:numPr>
      <w:spacing w:before="120"/>
    </w:pPr>
    <w:rPr>
      <w:rFonts w:cs="Times New Roman"/>
      <w:b w:val="0"/>
      <w:bCs w:val="0"/>
      <w:i w:val="0"/>
      <w:iCs w:val="0"/>
      <w:sz w:val="20"/>
      <w:szCs w:val="20"/>
    </w:rPr>
  </w:style>
  <w:style w:type="paragraph" w:customStyle="1" w:styleId="11">
    <w:name w:val="список1"/>
    <w:basedOn w:val="af5"/>
    <w:uiPriority w:val="99"/>
    <w:qFormat/>
    <w:pPr>
      <w:numPr>
        <w:numId w:val="6"/>
      </w:numPr>
      <w:ind w:firstLine="0"/>
    </w:pPr>
  </w:style>
  <w:style w:type="paragraph" w:customStyle="1" w:styleId="af5">
    <w:name w:val="основной текст"/>
    <w:basedOn w:val="ae"/>
    <w:next w:val="-"/>
    <w:qFormat/>
    <w:pPr>
      <w:keepLines/>
      <w:autoSpaceDE/>
      <w:autoSpaceDN/>
      <w:adjustRightInd/>
      <w:spacing w:before="0" w:after="0" w:afterAutospacing="0" w:line="276" w:lineRule="auto"/>
      <w:ind w:left="0" w:right="0" w:firstLine="851"/>
      <w:jc w:val="both"/>
    </w:pPr>
    <w:rPr>
      <w:rFonts w:eastAsia="Calibri"/>
      <w:color w:val="auto"/>
      <w:sz w:val="26"/>
      <w:szCs w:val="26"/>
    </w:rPr>
  </w:style>
  <w:style w:type="paragraph" w:customStyle="1" w:styleId="-">
    <w:name w:val="Обычный-ГИС"/>
    <w:basedOn w:val="Arial11"/>
    <w:qFormat/>
    <w:pPr>
      <w:keepLines w:val="0"/>
      <w:autoSpaceDE w:val="0"/>
      <w:autoSpaceDN w:val="0"/>
      <w:adjustRightInd w:val="0"/>
    </w:pPr>
    <w:rPr>
      <w:spacing w:val="-6"/>
      <w:szCs w:val="28"/>
      <w:lang w:eastAsia="ru-RU"/>
    </w:rPr>
  </w:style>
  <w:style w:type="paragraph" w:customStyle="1" w:styleId="Arial11">
    <w:name w:val="Стиль основной текст + Arial 11 пт Междустр.интервал:  одинарный"/>
    <w:basedOn w:val="af5"/>
    <w:qFormat/>
    <w:rPr>
      <w:lang w:eastAsia="en-US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nstroyrf.ru/docs/129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5012</Words>
  <Characters>28575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РСС</Company>
  <LinksUpToDate>false</LinksUpToDate>
  <CharactersWithSpaces>33520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Владимир Колосов</cp:lastModifiedBy>
  <cp:revision>6</cp:revision>
  <cp:lastPrinted>2014-01-14T05:54:00Z</cp:lastPrinted>
  <dcterms:created xsi:type="dcterms:W3CDTF">2018-02-19T10:20:00Z</dcterms:created>
  <dcterms:modified xsi:type="dcterms:W3CDTF">2019-02-28T13:10:00Z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