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Часть II. «Описание объекта закупки»</w:t>
      </w:r>
    </w:p>
    <w:p>
      <w:pPr>
        <w:pStyle w:val="Style13"/>
        <w:jc w:val="center"/>
        <w:rPr/>
      </w:pPr>
      <w:r>
        <w:rPr/>
      </w:r>
    </w:p>
    <w:p>
      <w:pPr>
        <w:pStyle w:val="1"/>
        <w:numPr>
          <w:ilvl w:val="0"/>
          <w:numId w:val="0"/>
        </w:numPr>
        <w:spacing w:lineRule="auto" w:line="360" w:before="0" w:after="0"/>
        <w:rPr>
          <w:sz w:val="24"/>
          <w:szCs w:val="24"/>
        </w:rPr>
      </w:pPr>
      <w:r>
        <w:rPr>
          <w:bCs w:val="false"/>
          <w:sz w:val="24"/>
          <w:szCs w:val="24"/>
        </w:rPr>
        <w:t>ТЕХНИЧЕСКОЕ ЗАДАНИЕ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color w:val="000000"/>
        </w:rPr>
      </w:pPr>
      <w:r>
        <w:rPr>
          <w:b/>
          <w:color w:val="000000"/>
        </w:rPr>
        <w:t>1. Наименование:</w:t>
      </w:r>
      <w:r>
        <w:rPr>
          <w:color w:val="000000"/>
        </w:rPr>
        <w:t xml:space="preserve"> Разработка проекта инженерно-технических средств охраны газовой котельной п. Белокаменный.</w:t>
      </w:r>
    </w:p>
    <w:p>
      <w:pPr>
        <w:pStyle w:val="Normal"/>
        <w:spacing w:lineRule="auto" w:line="360" w:before="0" w:after="0"/>
        <w:ind w:firstLine="567"/>
        <w:contextualSpacing/>
        <w:jc w:val="both"/>
        <w:rPr/>
      </w:pPr>
      <w:r>
        <w:rPr>
          <w:b/>
          <w:color w:val="000000"/>
        </w:rPr>
        <w:t xml:space="preserve">4. </w:t>
      </w:r>
      <w:r>
        <w:rPr>
          <w:b/>
        </w:rPr>
        <w:t>Наименование и описание объекта:</w:t>
      </w:r>
      <w:r>
        <w:rPr/>
        <w:t xml:space="preserve"> газовая котельная п. Белокаменный (Приложение №1 к Техническому заданию). </w:t>
      </w:r>
      <w:r>
        <w:rPr>
          <w:color w:val="000000"/>
        </w:rPr>
        <w:t>Реестровый номер объекта ТЭК А</w:t>
      </w:r>
      <w:r>
        <w:rPr>
          <w:color w:val="000000"/>
          <w:lang w:val="en-US"/>
        </w:rPr>
        <w:t>T</w:t>
      </w:r>
      <w:r>
        <w:rPr>
          <w:color w:val="000000"/>
        </w:rPr>
        <w:t>-Т-66-0002541 (далее – «Объект»)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4.1 Эксплуатирующая организация: Муниципальное казенное предприятие «Энергокомплекс», договор о предоставлении муниципального имущества на праве оперативного управления.</w:t>
      </w:r>
    </w:p>
    <w:p>
      <w:pPr>
        <w:pStyle w:val="Normal"/>
        <w:spacing w:lineRule="auto" w:line="360" w:before="0" w:after="0"/>
        <w:ind w:firstLine="567"/>
        <w:contextualSpacing/>
        <w:jc w:val="both"/>
        <w:rPr/>
      </w:pPr>
      <w:r>
        <w:rPr>
          <w:color w:val="000000"/>
        </w:rPr>
        <w:t>4.2 Местонахождение объекта: Свердловская область, г. Асбест, п. Белокаменный,                        ул. Советская, 35.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Цель проведения работ:</w:t>
      </w:r>
    </w:p>
    <w:p>
      <w:pPr>
        <w:pStyle w:val="Normal"/>
        <w:spacing w:lineRule="auto" w:line="360"/>
        <w:ind w:firstLine="567"/>
        <w:jc w:val="both"/>
        <w:rPr>
          <w:b/>
          <w:b/>
          <w:bCs/>
        </w:rPr>
      </w:pPr>
      <w:r>
        <w:rPr>
          <w:rFonts w:eastAsia="Calibri"/>
          <w:lang w:eastAsia="en-US"/>
        </w:rPr>
        <w:t>6.1 Приведение системы защищенности объекта</w:t>
      </w:r>
      <w:r>
        <w:rPr>
          <w:bCs/>
        </w:rPr>
        <w:t xml:space="preserve"> в соответствии с требованиями нормативных документов для категорированных объектов ТЭК с категорией «Низкая» по степени потенциальной опасности.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bCs/>
        </w:rPr>
      </w:pPr>
      <w:r>
        <w:rPr>
          <w:bCs/>
        </w:rPr>
        <w:t>6.2 Получение проектно-сметной документации, в том числе рабочей документации (стадия «Р») по установке на объекте следующих систем: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/>
        <w:ind w:left="0" w:firstLine="567"/>
        <w:jc w:val="both"/>
        <w:rPr>
          <w:rFonts w:eastAsia="Calibri"/>
          <w:lang w:eastAsia="en-US"/>
        </w:rPr>
      </w:pPr>
      <w:r>
        <w:rPr>
          <w:bCs/>
        </w:rPr>
        <w:t>периметральное ограждение (основное и дополнительное);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/>
        <w:ind w:left="0" w:firstLine="567"/>
        <w:jc w:val="both"/>
        <w:rPr>
          <w:rFonts w:eastAsia="Calibri"/>
          <w:lang w:eastAsia="en-US"/>
        </w:rPr>
      </w:pPr>
      <w:r>
        <w:rPr>
          <w:bCs/>
        </w:rPr>
        <w:t>контрольно-пропускной пункт для прохода людей и проезда автомобильного транспорта;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/>
        <w:ind w:left="0" w:firstLine="567"/>
        <w:jc w:val="both"/>
        <w:rPr>
          <w:rFonts w:eastAsia="Calibri"/>
          <w:lang w:eastAsia="en-US"/>
        </w:rPr>
      </w:pPr>
      <w:r>
        <w:rPr>
          <w:bCs/>
        </w:rPr>
        <w:t>система контроля и управление доступом на КПП для прохода людей и проезда автомобильного транспорта;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система периметральной сигнализации</w:t>
      </w:r>
      <w:r>
        <w:rPr>
          <w:rFonts w:eastAsia="Calibri"/>
          <w:lang w:val="en-US" w:eastAsia="en-US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система охранного освещения</w:t>
      </w:r>
      <w:r>
        <w:rPr>
          <w:rFonts w:eastAsia="Calibri"/>
          <w:lang w:val="en-US" w:eastAsia="en-US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предупредительные, разграничительные, запрещающие, указательные знаки;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тревожная сигнализация с выводом на пульт дежурного органа внутренних дел;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предусмотреть резервное электропитание;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окнах помещений установить защитные металлические конструкции для уязвимых мест;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наружные дверные конструкции должны быть не ниже 1 класса устойчивости;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технические средства обнаружения металлических предметов и взрывчатых веществ;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устройства принудительной остановки транспорта;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стационарная кнопка для извещения о тревоге с выводом на внешние оповещатели (автономную);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звуковое оповещение;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/>
        <w:ind w:left="0" w:firstLine="567"/>
        <w:jc w:val="both"/>
        <w:rPr/>
      </w:pPr>
      <w:r>
        <w:rPr>
          <w:rFonts w:eastAsia="Calibri"/>
          <w:lang w:eastAsia="en-US"/>
        </w:rPr>
        <w:t>система видеонаблюдения.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360"/>
        <w:ind w:left="1065" w:hanging="0"/>
        <w:jc w:val="both"/>
        <w:rPr/>
      </w:pPr>
      <w:r>
        <w:rPr>
          <w:rFonts w:eastAsia="Calibri"/>
          <w:b/>
          <w:lang w:eastAsia="en-US"/>
        </w:rPr>
        <w:t>7. Требования к сроку проектирования: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uppressAutoHyphens w:val="false"/>
        <w:spacing w:lineRule="auto" w:line="360"/>
        <w:ind w:left="2494" w:right="0" w:hanging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Срок проведения работ: </w:t>
      </w:r>
      <w:r>
        <w:rPr>
          <w:rFonts w:eastAsia="Calibri" w:cs="Times New Roman"/>
          <w:sz w:val="24"/>
          <w:szCs w:val="24"/>
          <w:lang w:eastAsia="en-US"/>
        </w:rPr>
        <w:t>45</w:t>
      </w:r>
      <w:r>
        <w:rPr>
          <w:rFonts w:eastAsia="Calibri" w:cs="Times New Roman"/>
          <w:sz w:val="24"/>
          <w:szCs w:val="24"/>
          <w:lang w:eastAsia="en-US"/>
        </w:rPr>
        <w:t xml:space="preserve"> календарных дней.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/>
      </w:pPr>
      <w:r>
        <w:rPr>
          <w:rFonts w:eastAsia="Calibri"/>
          <w:b/>
          <w:lang w:eastAsia="en-US"/>
        </w:rPr>
        <w:t>8. Требования к качеству результатов выполненных работ и составу проектно-сметной документации: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Проектно-сметная документация,</w:t>
      </w:r>
      <w:r>
        <w:rPr/>
        <w:t xml:space="preserve"> </w:t>
      </w:r>
      <w:r>
        <w:rPr>
          <w:rFonts w:eastAsia="Calibri"/>
          <w:lang w:eastAsia="en-US"/>
        </w:rPr>
        <w:t xml:space="preserve">в том числе рабочая документация (стадия «Р») должна соответствовать требованиям Федерального законодательства, строительных норм и правил.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Содержание и состав проектно-сметной документации должен соответствовать «ГОСТ Р 21.1101-2013. Система проектной документации для строительства. Основные требования к проектной и рабочей документации».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8.1. Документация проекта должна содержать графическую часть и пояснительную записку.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8.2. В составе проектной документации выполнить отдельными альбомами проектируемые системы.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8.3. Проект предоставляется Заказчику в 3 (трех) экземплярах на бумажном носителе, электронная версия графических и текстовых материалов проектно-сметной документации  (на электронном носителе) в 1 экземпляре – Заказчику: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текстовые документы в формате  Microsoft Word (*.doc),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сметные расчёты в  формате Microsoft Excel (*.xls),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графические материалы (чертежи) в формате AutoCAD (*.dwg) или (в форматах  MapInfo или векторном формате PDF, или эквивалент).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ind w:left="0" w:firstLine="567"/>
        <w:jc w:val="both"/>
        <w:rPr>
          <w:b/>
          <w:b/>
          <w:bCs/>
        </w:rPr>
      </w:pPr>
      <w:r>
        <w:rPr>
          <w:b/>
          <w:bCs/>
        </w:rPr>
        <w:t>Объем проектирования:</w:t>
      </w:r>
    </w:p>
    <w:p>
      <w:pPr>
        <w:pStyle w:val="Normal"/>
        <w:spacing w:lineRule="auto" w:line="360"/>
        <w:ind w:firstLine="567"/>
        <w:jc w:val="both"/>
        <w:rPr>
          <w:bCs/>
        </w:rPr>
      </w:pPr>
      <w:r>
        <w:rPr>
          <w:bCs/>
        </w:rPr>
        <w:tab/>
        <w:t xml:space="preserve">Объем проектирования должен соответствовать объемам необходимым в рамках требований Постановления </w:t>
      </w:r>
      <w:r>
        <w:rPr>
          <w:rFonts w:eastAsia="Calibri"/>
          <w:lang w:eastAsia="en-US"/>
        </w:rPr>
        <w:t>Правительства № 458 от 05.05.2012 года «Об утверждении правил по обеспечению безопасности и антитеррористической защищенности объектов ТЭК». Границы основного ограждения и расположения КПП согласовать на этапе проектирования с Заказчиком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uppressAutoHyphens w:val="false"/>
        <w:spacing w:lineRule="auto" w:line="360"/>
        <w:jc w:val="both"/>
        <w:rPr>
          <w:rFonts w:eastAsia="Calibri"/>
          <w:b/>
          <w:b/>
          <w:highlight w:val="yellow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highlight w:val="yellow"/>
          <w:lang w:eastAsia="en-US"/>
        </w:rPr>
        <w:t>Требование к периметральному ограждению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Предусмотреть ограждение периметра территории котельной основным и дополнительным ограждением.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Предусмотреть основное ограждение из сварных секций с прутками диаметром не менее               5 мм, имеющими антикоррозионную защиту (полимер, хромирование, оцинкование и др.). Расстояние между прутками должно составлять не более 150 мм. Конструкция ограждения должна быть оптимизирована для установки извещателей (технических средств обнаружения) и изготавливаться во всеклиматическом исполнении. В качестве фундамента для опор основного ограждения предусмотреть винтовые сваи с фланцевыми соединениями.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Верхнее дополнительное ограждение должно быть просматриваемым и располагаться поверх основного ограждения, для увеличения его задерживающих свойств. Верхнее дополнительное ограждение должно представлять собой противоперелазный козырек (V образной формы с наклоном 45 градусов в обе стороны от вертикали) на основе спиральной или плоской армированной колючей ленты. Конструкция и крепление верхнего дополнительного ограждения должны исключать проникновение нарушителя между основным и дополнительным ограждением.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Нижнее дополнительное ограждение для защиты от подкопа заглубляется в грунт на глубину не менее 0,5 метра, выполняется в виде сварной решетки с размером ячейки не более 15 см из прутков диаметром не менее 5 мм, имеющими антикоррозионную защиту (полимер, хромирование, оцинкование и др.).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Конструкции основного и дополнительного ограждения (верхнего и нижнего) должны быть прочными и долговечными, не иметь элементов, облегчающих нарушителю их преодоление.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Дополнительное ограждение следует предусмотреть на крышах и стенах одноэтажных зданий, примыкающих к основному ограждению объекта или являющихся составной частью его периметра.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Высота основного ограждения (без учета дополнительного ограждения) по периметру объекта должна составлять не менее 2,5 метра (одинаковая по всей протяженности).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uppressAutoHyphens w:val="false"/>
        <w:spacing w:lineRule="auto" w:line="360"/>
        <w:jc w:val="both"/>
        <w:rPr>
          <w:rFonts w:eastAsia="Calibri"/>
          <w:b/>
          <w:b/>
          <w:highlight w:val="yellow"/>
          <w:lang w:eastAsia="en-US"/>
        </w:rPr>
      </w:pPr>
      <w:r>
        <w:rPr>
          <w:rFonts w:eastAsia="Calibri"/>
          <w:b/>
          <w:highlight w:val="yellow"/>
          <w:lang w:eastAsia="en-US"/>
        </w:rPr>
        <w:t>Требования к КПП для прохода людей и проезда автомобильного транспорта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Предусмотреть контрольно-пропускной пункт модульного типа для осуществления пропускного режима на охраняемы объект. Наружные ограждающие конструкции КПП должны быть устойчивыми к внешним воздействиям. Во входных дверях КПП предусмотреть смотровой глазок, переговорное устройство и внешнее освещение. Пост на КПП должен иметь хороший обзор и обеспечивать защиту охранника (контролера) от нападения.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В здании КПП предусмотреть место (комнату) досмотра.  Предусмотреть проход, оборудованный ограждением, устройством, преграждающим и кабиной охранника (контролера, постового) КПП. Для ограждения проходов использовать решетчатые барьеры из металлоконструкций. В качестве преграждающих устройств использовать турникеты.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КПП обеспечить возможность проезда легкового и грузового транспорта, а также автобусов и спецтехники, в том числе: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любых пожарных и спец автомобилей,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любых машин скорой медицинской помощи,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спецтехники специальных подразделений, включая бронетранспортёр (далее – БТР) и боевую машину пехоты (далее – БМП),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коммунальных и вакуумных машин, а также мусоровозов на базе КАМАЗа,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снегоуборочной техники на базе тракторов МТЗ-82 и экскаваторов-погрузчиков импортного производства с эксплуатационной массой до 10 тонн на ось;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пассажирских автобусов высотой до 4,5 метров и снаряженной (полной) массой до 30 тонн.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Оборудуется последовательно расположенными с внешней стороны воротами с электрическим приводом (откатными или распашными, приоритет откатным) и шлагбаумом на расстоянии, обеспечивающем размещение между ними не менее одного транспортного средства.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Оборудуется одной полосой, обеспечивающей возможность одновременного въезда-выезда одного транспортного средства.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Оборудуется зоной осмотра транспортных средств.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Имеет один комплект досмотровых эндоскопов и зеркал.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Оборудуется автоматизированной системой досмотра днища автомобиля с выводом информации в рабочее помещение КПП.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color w:val="000000"/>
        </w:rPr>
      </w:pPr>
      <w:r>
        <w:rPr>
          <w:b/>
          <w:color w:val="000000"/>
        </w:rPr>
        <w:t>12. Требования к системе периметральной сигнализации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</w:rPr>
        <w:tab/>
        <w:t>Предусмотреть оснащение периметра охраняемой территории двумя рубежами охранной сигнализации (первый рубеж – периметр ограждения, второй рубеж – ворота) с выводом сигнала тревоги на пульт охраны, расположенный в помещении КПП для прохода людей. Принципы работы и места установки средств охранной сигнализации периметра определить в ходе проектирования.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Предусмотреть оснащение ИТСО основным и резервным электропитанием с резервированием кабельных линий, возможностью автоматического переключения без нарушения работы ИТСО и обеспечением времени работы от резервного источника питания не менее              24 часов в дежурном режиме и не менее 3 часов в режиме тревоги.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b/>
          <w:b/>
          <w:color w:val="000000"/>
        </w:rPr>
      </w:pPr>
      <w:r>
        <w:rPr>
          <w:b/>
          <w:color w:val="000000"/>
        </w:rPr>
        <w:t>13. Требования к системе охранного освещения: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</w:rPr>
        <w:tab/>
        <w:t>Предусмотреть оборудование объекта средствами основного и дополнительного охранного освещения с возможность ручного и автоматического управления с КПП для прохода людей.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</w:rPr>
        <w:tab/>
        <w:t>Предусмотреть использования светодиодных (LED) светильников.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b/>
          <w:b/>
          <w:color w:val="000000"/>
        </w:rPr>
      </w:pPr>
      <w:r>
        <w:rPr>
          <w:b/>
          <w:color w:val="000000"/>
        </w:rPr>
        <w:t>14. Система видеонаблюдения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Предусмотреть систему видеонаблюдения за периметром объекта с выводом сигнала на пульт охраны</w:t>
      </w:r>
      <w:r>
        <w:rPr/>
        <w:t xml:space="preserve"> </w:t>
      </w:r>
      <w:r>
        <w:rPr>
          <w:color w:val="000000"/>
        </w:rPr>
        <w:t>расположенный в помещении КПП для прохода людей. Принципы работы и места установки средств видеонаблюдения за периметром определить в ходе проектирования.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b/>
          <w:b/>
          <w:color w:val="000000"/>
        </w:rPr>
      </w:pPr>
      <w:r>
        <w:rPr>
          <w:b/>
          <w:color w:val="000000"/>
        </w:rPr>
        <w:t>15. Требования по согласованию документации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Технические решения, полученные на стадии разработки проектной документации, согласовываются c Заказчиком. 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Сметная документация на всех стадиях проектирования согласовывается с Заказчиком. 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b/>
          <w:b/>
          <w:color w:val="000000"/>
        </w:rPr>
      </w:pPr>
      <w:r>
        <w:rPr>
          <w:b/>
          <w:color w:val="000000"/>
        </w:rPr>
        <w:t>16. Особые условия проектирования: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Проектируемые системы не должны вступать в противоречие с существующими системами. Необходимо учитывать конфигурацию существующих объектов, зданий, сооружений, оборудования.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b/>
          <w:b/>
          <w:color w:val="000000"/>
        </w:rPr>
      </w:pPr>
      <w:r>
        <w:rPr>
          <w:b/>
          <w:color w:val="000000"/>
        </w:rPr>
        <w:t>17. Требования к гарантийному сроку и условиям гарантийного обслуживания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</w:rPr>
        <w:tab/>
        <w:t>Подрядчик несет ответственность за соответствие проекта нормам технологического проектирования, в случае обнаружения ошибки проектирования в процессе проведения монтажных и наладочных работ.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b/>
          <w:b/>
          <w:color w:val="000000"/>
        </w:rPr>
      </w:pPr>
      <w:r>
        <w:rPr>
          <w:b/>
          <w:color w:val="000000"/>
        </w:rPr>
        <w:t>18. Прочие требования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При разработке проектно-сметной документации, в случае невозможности (нецелесообразности) использования эквивалентных торговых наименований (товарных знаков) используемых товаров и материалов, встречающиеся в проектно-сметной, технической документации, Подрядчик должен указывать соответствующее обоснование. В случае если использование эквивалентных товаров и материалов возможно их наименования должны содержать фразу "или эквивалент".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5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">
    <w:lvl w:ilvl="0">
      <w:start w:val="6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lvlText w:val="%1.%2"/>
      <w:lvlJc w:val="left"/>
      <w:pPr>
        <w:ind w:left="957" w:hanging="39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287" w:hanging="72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1647" w:hanging="108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367" w:hanging="1800"/>
      </w:pPr>
    </w:lvl>
  </w:abstractNum>
  <w:abstractNum w:abstractNumId="4"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777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037775"/>
    <w:pPr>
      <w:keepNext w:val="true"/>
      <w:numPr>
        <w:ilvl w:val="0"/>
        <w:numId w:val="1"/>
      </w:numPr>
      <w:spacing w:before="240" w:after="60"/>
      <w:jc w:val="center"/>
      <w:outlineLvl w:val="0"/>
    </w:pPr>
    <w:rPr>
      <w:b/>
      <w:bCs/>
      <w:kern w:val="2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qFormat/>
    <w:rsid w:val="00037775"/>
    <w:pPr>
      <w:keepNext w:val="true"/>
      <w:numPr>
        <w:ilvl w:val="1"/>
        <w:numId w:val="1"/>
      </w:numPr>
      <w:spacing w:before="240" w:after="60"/>
      <w:jc w:val="center"/>
      <w:outlineLvl w:val="1"/>
    </w:pPr>
    <w:rPr>
      <w:b/>
      <w:bCs/>
      <w:iCs/>
    </w:rPr>
  </w:style>
  <w:style w:type="paragraph" w:styleId="3">
    <w:name w:val="Heading 3"/>
    <w:basedOn w:val="Normal"/>
    <w:next w:val="Normal"/>
    <w:link w:val="30"/>
    <w:qFormat/>
    <w:rsid w:val="00037775"/>
    <w:pPr>
      <w:keepNext w:val="true"/>
      <w:numPr>
        <w:ilvl w:val="2"/>
        <w:numId w:val="1"/>
      </w:numPr>
      <w:spacing w:before="240" w:after="60"/>
      <w:jc w:val="right"/>
      <w:outlineLvl w:val="2"/>
    </w:pPr>
    <w:rPr>
      <w:bCs/>
    </w:rPr>
  </w:style>
  <w:style w:type="paragraph" w:styleId="9">
    <w:name w:val="Heading 9"/>
    <w:basedOn w:val="Normal"/>
    <w:next w:val="Normal"/>
    <w:link w:val="90"/>
    <w:qFormat/>
    <w:rsid w:val="000377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037775"/>
    <w:rPr>
      <w:rFonts w:ascii="Times New Roman" w:hAnsi="Times New Roman" w:eastAsia="Times New Roman" w:cs="Times New Roman"/>
      <w:b/>
      <w:bCs/>
      <w:kern w:val="2"/>
      <w:sz w:val="28"/>
      <w:szCs w:val="28"/>
      <w:lang w:eastAsia="ar-SA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37775"/>
    <w:rPr>
      <w:rFonts w:ascii="Times New Roman" w:hAnsi="Times New Roman" w:eastAsia="Times New Roman" w:cs="Times New Roman"/>
      <w:b/>
      <w:bCs/>
      <w:iCs/>
      <w:sz w:val="24"/>
      <w:szCs w:val="24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037775"/>
    <w:rPr>
      <w:rFonts w:ascii="Times New Roman" w:hAnsi="Times New Roman" w:eastAsia="Times New Roman" w:cs="Times New Roman"/>
      <w:bCs/>
      <w:sz w:val="24"/>
      <w:szCs w:val="24"/>
      <w:lang w:eastAsia="ar-SA"/>
    </w:rPr>
  </w:style>
  <w:style w:type="character" w:styleId="91" w:customStyle="1">
    <w:name w:val="Заголовок 9 Знак"/>
    <w:basedOn w:val="DefaultParagraphFont"/>
    <w:link w:val="9"/>
    <w:qFormat/>
    <w:rsid w:val="00037775"/>
    <w:rPr>
      <w:rFonts w:ascii="Arial" w:hAnsi="Arial" w:eastAsia="Times New Roman" w:cs="Arial"/>
      <w:lang w:eastAsia="ar-SA"/>
    </w:rPr>
  </w:style>
  <w:style w:type="character" w:styleId="Style10" w:customStyle="1">
    <w:name w:val="Основной текст Знак"/>
    <w:basedOn w:val="DefaultParagraphFont"/>
    <w:link w:val="a3"/>
    <w:qFormat/>
    <w:rsid w:val="0003777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1" w:customStyle="1">
    <w:name w:val="Обычный (веб) Знак"/>
    <w:link w:val="a5"/>
    <w:qFormat/>
    <w:rsid w:val="0003777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link w:val="a4"/>
    <w:qFormat/>
    <w:rsid w:val="00037775"/>
    <w:pPr/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a6"/>
    <w:qFormat/>
    <w:rsid w:val="00037775"/>
    <w:pPr>
      <w:suppressAutoHyphens w:val="false"/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LibreOffice/6.2.0.3$Windows_X86_64 LibreOffice_project/98c6a8a1c6c7b144ce3cc729e34964b47ce25d62</Application>
  <Pages>6</Pages>
  <Words>1169</Words>
  <Characters>8629</Characters>
  <CharactersWithSpaces>9780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2019-03-04T16:23:00Z</dcterms:created>
  <dc:creator>Дмитрий</dc:creator>
  <dc:description/>
  <dc:language>ru-RU</dc:language>
  <cp:lastModifiedBy/>
  <dcterms:modified xsi:type="dcterms:W3CDTF">2019-03-04T21:42:22Z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