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1" w:rsidRDefault="00DA7201" w:rsidP="00DA7201">
      <w:pPr>
        <w:autoSpaceDE w:val="0"/>
        <w:ind w:right="-1"/>
        <w:jc w:val="center"/>
        <w:outlineLvl w:val="0"/>
        <w:rPr>
          <w:b/>
        </w:rPr>
      </w:pPr>
      <w:r w:rsidRPr="00493D15">
        <w:rPr>
          <w:b/>
          <w:lang w:val="en-US"/>
        </w:rPr>
        <w:t>II</w:t>
      </w:r>
      <w:r w:rsidRPr="00493D15">
        <w:rPr>
          <w:b/>
        </w:rPr>
        <w:t>. Техническое задание</w:t>
      </w:r>
    </w:p>
    <w:p w:rsidR="00DA7201" w:rsidRDefault="00DA7201" w:rsidP="00DA7201">
      <w:pPr>
        <w:jc w:val="center"/>
        <w:rPr>
          <w:b/>
        </w:rPr>
      </w:pPr>
      <w:proofErr w:type="gramStart"/>
      <w:r>
        <w:rPr>
          <w:b/>
        </w:rPr>
        <w:t>на разработку проектно-сметной</w:t>
      </w:r>
      <w:r w:rsidRPr="00212BEC">
        <w:rPr>
          <w:b/>
        </w:rPr>
        <w:t xml:space="preserve"> документации капитального ремонта автомобильной дороги общего пользования по улице </w:t>
      </w:r>
      <w:r>
        <w:rPr>
          <w:b/>
        </w:rPr>
        <w:t>Кооперативная</w:t>
      </w:r>
      <w:r w:rsidRPr="00212BEC">
        <w:rPr>
          <w:b/>
        </w:rPr>
        <w:t xml:space="preserve"> на участке от улицы </w:t>
      </w:r>
      <w:r>
        <w:rPr>
          <w:b/>
        </w:rPr>
        <w:t>Фрунзе</w:t>
      </w:r>
      <w:r w:rsidRPr="00212BEC">
        <w:rPr>
          <w:b/>
        </w:rPr>
        <w:t xml:space="preserve"> до улицы</w:t>
      </w:r>
      <w:proofErr w:type="gramEnd"/>
      <w:r w:rsidRPr="00212BEC">
        <w:rPr>
          <w:b/>
        </w:rPr>
        <w:t xml:space="preserve"> </w:t>
      </w:r>
      <w:r>
        <w:rPr>
          <w:b/>
        </w:rPr>
        <w:t>Яновского</w:t>
      </w:r>
      <w:r w:rsidRPr="00212BEC">
        <w:rPr>
          <w:b/>
        </w:rPr>
        <w:t xml:space="preserve"> </w:t>
      </w:r>
      <w:r>
        <w:rPr>
          <w:b/>
        </w:rPr>
        <w:t>города Бахчисарая</w:t>
      </w:r>
    </w:p>
    <w:p w:rsidR="00DA7201" w:rsidRPr="00212BEC" w:rsidRDefault="00DA7201" w:rsidP="00DA72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0"/>
        <w:gridCol w:w="6401"/>
      </w:tblGrid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pPr>
              <w:jc w:val="center"/>
            </w:pPr>
            <w:r w:rsidRPr="00212BEC">
              <w:t>Перечень основных данных и требований</w:t>
            </w:r>
          </w:p>
        </w:tc>
        <w:tc>
          <w:tcPr>
            <w:tcW w:w="6839" w:type="dxa"/>
          </w:tcPr>
          <w:p w:rsidR="00DA7201" w:rsidRPr="00212BEC" w:rsidRDefault="00DA7201" w:rsidP="00EA69C0">
            <w:pPr>
              <w:jc w:val="center"/>
            </w:pPr>
            <w:r w:rsidRPr="00212BEC">
              <w:t>Содержание требований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FC5B36" w:rsidRDefault="00DA7201" w:rsidP="00DA72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FC5B36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 xml:space="preserve">Разработка проектной документации капитального ремонта автомобильной дороги общего пользования по ул. </w:t>
            </w:r>
            <w:r>
              <w:t>Кооперативная</w:t>
            </w:r>
            <w:r w:rsidRPr="00212BEC">
              <w:t xml:space="preserve"> на участке от ул. </w:t>
            </w:r>
            <w:r>
              <w:t>Фрунзе</w:t>
            </w:r>
            <w:r w:rsidRPr="00212BEC">
              <w:t xml:space="preserve"> до ул. </w:t>
            </w:r>
            <w:r>
              <w:t>Яновского</w:t>
            </w:r>
            <w:r w:rsidRPr="00212BEC">
              <w:t xml:space="preserve"> </w:t>
            </w:r>
            <w:r>
              <w:t>города Бахчисарая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2. Муниципальный заказчик</w:t>
            </w:r>
          </w:p>
        </w:tc>
        <w:tc>
          <w:tcPr>
            <w:tcW w:w="6839" w:type="dxa"/>
          </w:tcPr>
          <w:p w:rsidR="00DA7201" w:rsidRPr="00212BEC" w:rsidRDefault="00DA7201" w:rsidP="00EA69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Бахчисарая</w:t>
            </w:r>
          </w:p>
          <w:p w:rsidR="00DA7201" w:rsidRPr="00212BEC" w:rsidRDefault="00DA7201" w:rsidP="00EA69C0"/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3. Источник финансирования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Местный бюджет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4. Основание для разработки проектной документации</w:t>
            </w:r>
          </w:p>
        </w:tc>
        <w:tc>
          <w:tcPr>
            <w:tcW w:w="6839" w:type="dxa"/>
          </w:tcPr>
          <w:p w:rsidR="00DA7201" w:rsidRPr="00212BEC" w:rsidRDefault="00DA7201" w:rsidP="00EA69C0">
            <w:r>
              <w:t>Решение сессии Бахчисарайского городского совета от 23.12.2016 №747 «О бюджете городского поселения Бахчисарай Бахчисарайского района Республики Крым на 2017 год»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5. Вид строительства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Капитальный ремонт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6. Стадийность проектирования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Проектно-сметная документация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7. Сбор исходных данных для проектирования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Выполняется проектной организацией в объеме необходимом для разработки проектной документации.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8. Инженерные изыскания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1. Выполнить комплекс инженерных изысканий (инженерно-геодезические, геологические и гидрологические) в объеме необходимом для обоснования и принятия оптимального варианта капитального ремонта, в соответствии с требованиями нормативных документов по выполнению инженерных изысканий.</w:t>
            </w:r>
          </w:p>
          <w:p w:rsidR="00DA7201" w:rsidRPr="00212BEC" w:rsidRDefault="00DA7201" w:rsidP="00EA69C0">
            <w:r w:rsidRPr="00212BEC">
              <w:t xml:space="preserve">2. Оформить технический отчет по результатам.  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9. Технические показатели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1. Начало участк</w:t>
            </w:r>
            <w:proofErr w:type="gramStart"/>
            <w:r w:rsidRPr="00212BEC">
              <w:t>а-</w:t>
            </w:r>
            <w:proofErr w:type="gramEnd"/>
            <w:r w:rsidRPr="00212BEC">
              <w:t xml:space="preserve"> примыкание ул. </w:t>
            </w:r>
            <w:r>
              <w:t>Кооперативная</w:t>
            </w:r>
            <w:r w:rsidRPr="00212BEC">
              <w:t xml:space="preserve"> к ул. </w:t>
            </w:r>
            <w:r>
              <w:t>Фрунзе</w:t>
            </w:r>
            <w:r w:rsidRPr="00212BEC">
              <w:t xml:space="preserve">, к улице </w:t>
            </w:r>
            <w:r>
              <w:t>Советская</w:t>
            </w:r>
            <w:r w:rsidRPr="00212BEC">
              <w:t>,</w:t>
            </w:r>
            <w:r>
              <w:t xml:space="preserve"> автомобильное кольцо</w:t>
            </w:r>
            <w:r w:rsidRPr="00212BEC">
              <w:t>.</w:t>
            </w:r>
          </w:p>
          <w:p w:rsidR="00DA7201" w:rsidRPr="00212BEC" w:rsidRDefault="00DA7201" w:rsidP="00EA69C0">
            <w:r w:rsidRPr="00212BEC">
              <w:t>2. Конец участк</w:t>
            </w:r>
            <w:proofErr w:type="gramStart"/>
            <w:r w:rsidRPr="00212BEC">
              <w:t>а-</w:t>
            </w:r>
            <w:proofErr w:type="gramEnd"/>
            <w:r w:rsidRPr="00212BEC">
              <w:t xml:space="preserve"> примыкание ул. </w:t>
            </w:r>
            <w:r>
              <w:t>Кооперативная</w:t>
            </w:r>
            <w:r w:rsidRPr="00212BEC">
              <w:t xml:space="preserve"> к ул. </w:t>
            </w:r>
            <w:r>
              <w:t>Яновского</w:t>
            </w:r>
            <w:r w:rsidRPr="00212BEC">
              <w:t xml:space="preserve">.                             </w:t>
            </w:r>
          </w:p>
          <w:p w:rsidR="00DA7201" w:rsidRPr="00212BEC" w:rsidRDefault="00DA7201" w:rsidP="00EA69C0">
            <w:r w:rsidRPr="00212BEC">
              <w:t xml:space="preserve">3. Протяженность – </w:t>
            </w:r>
            <w:r>
              <w:t>900</w:t>
            </w:r>
            <w:r w:rsidRPr="00212BEC">
              <w:t xml:space="preserve"> м.</w:t>
            </w:r>
            <w:r>
              <w:t xml:space="preserve"> (уточнить проектом)</w:t>
            </w:r>
          </w:p>
          <w:p w:rsidR="00DA7201" w:rsidRPr="008533CD" w:rsidRDefault="00DA7201" w:rsidP="00EA69C0">
            <w:r w:rsidRPr="008533CD">
              <w:t>4. Ширина земельного полотна -</w:t>
            </w:r>
            <w:r>
              <w:t>6,5-8</w:t>
            </w:r>
            <w:r w:rsidRPr="008533CD">
              <w:t xml:space="preserve">м.  </w:t>
            </w:r>
          </w:p>
          <w:p w:rsidR="00DA7201" w:rsidRPr="00212BEC" w:rsidRDefault="00DA7201" w:rsidP="00EA69C0">
            <w:r w:rsidRPr="008533CD">
              <w:t xml:space="preserve">5. Ширина проезжей части </w:t>
            </w:r>
            <w:r>
              <w:t>–</w:t>
            </w:r>
            <w:r w:rsidRPr="008533CD">
              <w:t xml:space="preserve"> </w:t>
            </w:r>
            <w:r>
              <w:t>6,0-6,5</w:t>
            </w:r>
            <w:r w:rsidRPr="008533CD">
              <w:t>м.</w:t>
            </w:r>
          </w:p>
          <w:p w:rsidR="00DA7201" w:rsidRPr="00212BEC" w:rsidRDefault="00DA7201" w:rsidP="00EA69C0">
            <w:r w:rsidRPr="00212BEC">
              <w:t>6. Число полос - 2.</w:t>
            </w:r>
          </w:p>
          <w:p w:rsidR="00DA7201" w:rsidRPr="00212BEC" w:rsidRDefault="00DA7201" w:rsidP="00EA69C0">
            <w:r>
              <w:t>7</w:t>
            </w:r>
            <w:r w:rsidRPr="00212BEC">
              <w:t xml:space="preserve">. Тип дорожной одежды - капитальный с асфальтобетонным покрытием.            </w:t>
            </w:r>
          </w:p>
          <w:p w:rsidR="00DA7201" w:rsidRPr="00212BEC" w:rsidRDefault="00DA7201" w:rsidP="00EA69C0">
            <w:r>
              <w:t>8</w:t>
            </w:r>
            <w:r w:rsidRPr="00212BEC">
              <w:t>. Тип поверхностного водоотвода открытый.</w:t>
            </w:r>
          </w:p>
          <w:p w:rsidR="00DA7201" w:rsidRPr="00212BEC" w:rsidRDefault="00DA7201" w:rsidP="00EA69C0">
            <w:r>
              <w:t>9</w:t>
            </w:r>
            <w:r w:rsidRPr="00212BEC">
              <w:t>. Недостающие элементы пешеходных зон, ограждений, светофоров, знаков, пешеходных зон.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 xml:space="preserve">10. Основные требования к составу и оформлению проектно-сметной </w:t>
            </w:r>
            <w:r w:rsidRPr="00212BEC">
              <w:lastRenderedPageBreak/>
              <w:t>документации.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lastRenderedPageBreak/>
              <w:t xml:space="preserve">1. Разработать проектно-сметную документацию в </w:t>
            </w:r>
            <w:r>
              <w:t xml:space="preserve">соответствии с </w:t>
            </w:r>
            <w:r w:rsidRPr="00212BEC">
              <w:t>постановлени</w:t>
            </w:r>
            <w:r>
              <w:t>ем</w:t>
            </w:r>
            <w:r w:rsidRPr="00212BEC">
              <w:t xml:space="preserve"> Правительства РФ от 16.02.2008г. № 87 «О составе разделов проектной </w:t>
            </w:r>
            <w:r w:rsidRPr="00212BEC">
              <w:lastRenderedPageBreak/>
              <w:t xml:space="preserve">документации и требованиях к их содержанию»                                             </w:t>
            </w:r>
          </w:p>
          <w:p w:rsidR="00DA7201" w:rsidRPr="00212BEC" w:rsidRDefault="00DA7201" w:rsidP="00EA69C0">
            <w:r w:rsidRPr="00212BEC">
              <w:t>2. Сметная часть проектной документации должна соответствовать МДС 81-35.2004. «Методика определения стоимости строительной продукции на территории Российской Федерации».</w:t>
            </w:r>
          </w:p>
          <w:p w:rsidR="00DA7201" w:rsidRPr="00212BEC" w:rsidRDefault="00DA7201" w:rsidP="00EA69C0">
            <w:r w:rsidRPr="00212BEC">
              <w:t xml:space="preserve">При разработке сметной документации использовать программный комплекс, прошедший сертификацию соответствия с порядком, установленным Федеральным законом «О техническом регулировании». Сметную стоимость ремонта определить в двух уровнях цен: </w:t>
            </w:r>
          </w:p>
          <w:p w:rsidR="00DA7201" w:rsidRPr="00212BEC" w:rsidRDefault="00DA7201" w:rsidP="00EA69C0">
            <w:r w:rsidRPr="00212BEC">
              <w:t xml:space="preserve">- в базисном уровне с применением ТЕР-2001 по </w:t>
            </w:r>
            <w:r>
              <w:t>Республике Крым</w:t>
            </w:r>
            <w:r w:rsidRPr="00212BEC">
              <w:t xml:space="preserve">;               </w:t>
            </w:r>
          </w:p>
          <w:p w:rsidR="00DA7201" w:rsidRPr="00212BEC" w:rsidRDefault="00DA7201" w:rsidP="00EA69C0">
            <w:r w:rsidRPr="00212BEC">
              <w:t xml:space="preserve">- в текущем уровне цен утверждения сметной документации </w:t>
            </w:r>
            <w:proofErr w:type="spellStart"/>
            <w:r w:rsidRPr="00212BEC">
              <w:t>базисно-индексным</w:t>
            </w:r>
            <w:proofErr w:type="spellEnd"/>
            <w:r w:rsidRPr="00212BEC">
              <w:t xml:space="preserve"> методом.                  </w:t>
            </w:r>
          </w:p>
          <w:p w:rsidR="00DA7201" w:rsidRPr="00212BEC" w:rsidRDefault="00DA7201" w:rsidP="00EA69C0">
            <w:r w:rsidRPr="00212BEC">
              <w:t>3. Материалы проектной документации оформить в соответствии с ГОСТ Р21.101.-97. «Система проектной документации для строительства. Основные требования к проектной и рабочей документации».</w:t>
            </w:r>
          </w:p>
          <w:p w:rsidR="00DA7201" w:rsidRPr="00212BEC" w:rsidRDefault="00DA7201" w:rsidP="00EA69C0">
            <w:r w:rsidRPr="00212BEC">
              <w:t>4. При проектировании  предусмотреть полную расшифровку материалов товара и оборудования (наименование товара, наименование показателя, значения показателя, нормативный документ, на основании которого установлен показатель, страна  происхождения товара и т.д.).</w:t>
            </w:r>
          </w:p>
          <w:p w:rsidR="00DA7201" w:rsidRPr="00212BEC" w:rsidRDefault="00DA7201" w:rsidP="00EA69C0">
            <w:r w:rsidRPr="00212BEC">
              <w:t xml:space="preserve">5. Проектную документацию оформить подписями руководителя генеральной проектной организации и главного инженера проекта круглой печатью генеральной проектной организации, а также справкой проектной организации в соответствии проектной документации требованиям действующего законодательства и задания на проектирование, а так же в формате </w:t>
            </w:r>
            <w:r w:rsidRPr="00212BEC">
              <w:rPr>
                <w:lang w:val="en-US"/>
              </w:rPr>
              <w:t>PDF</w:t>
            </w:r>
            <w:r w:rsidRPr="00212BEC">
              <w:t xml:space="preserve"> с возможностью защиты электронной цифровой подписи.</w:t>
            </w:r>
          </w:p>
          <w:p w:rsidR="00DA7201" w:rsidRPr="00212BEC" w:rsidRDefault="00DA7201" w:rsidP="00EA69C0">
            <w:r w:rsidRPr="00212BEC">
              <w:t xml:space="preserve">6. Проектную документацию передать заказчику в 4 экземплярах на бумажном носителе в переплетенном виде и 2 экземпляра в электронном виде на магнитном носителе, в том числе сметы в формате </w:t>
            </w:r>
            <w:r w:rsidRPr="00212BEC">
              <w:rPr>
                <w:lang w:val="en-US"/>
              </w:rPr>
              <w:t>ARPS</w:t>
            </w:r>
            <w:r w:rsidRPr="00212BEC">
              <w:t xml:space="preserve">, чертежи в формате </w:t>
            </w:r>
            <w:r w:rsidRPr="00212BEC">
              <w:rPr>
                <w:lang w:val="en-US"/>
              </w:rPr>
              <w:t>AutoCAD</w:t>
            </w:r>
            <w:r w:rsidRPr="00212BEC">
              <w:t xml:space="preserve">, текстовые документы в формате  </w:t>
            </w:r>
            <w:r w:rsidRPr="00212BEC">
              <w:rPr>
                <w:lang w:val="en-US"/>
              </w:rPr>
              <w:t>Word</w:t>
            </w:r>
            <w:r w:rsidRPr="00212BEC">
              <w:t xml:space="preserve">, </w:t>
            </w:r>
            <w:r w:rsidRPr="00212BEC">
              <w:rPr>
                <w:lang w:val="en-US"/>
              </w:rPr>
              <w:t>Excel</w:t>
            </w:r>
            <w:r w:rsidRPr="00212BEC">
              <w:t xml:space="preserve">, в формате, </w:t>
            </w:r>
            <w:r w:rsidRPr="00196D50">
              <w:rPr>
                <w:color w:val="000000"/>
              </w:rPr>
              <w:t>с возможностью редактирования документа</w:t>
            </w:r>
            <w:r w:rsidRPr="00212BEC">
              <w:t>.</w:t>
            </w:r>
          </w:p>
          <w:p w:rsidR="00DA7201" w:rsidRPr="00212BEC" w:rsidRDefault="00DA7201" w:rsidP="00EA69C0">
            <w:r w:rsidRPr="00212BEC">
              <w:t xml:space="preserve">7. </w:t>
            </w:r>
            <w:r w:rsidRPr="00475F2E">
              <w:t>Сопровож</w:t>
            </w:r>
            <w:r>
              <w:t>дение</w:t>
            </w:r>
            <w:r w:rsidRPr="00475F2E">
              <w:t xml:space="preserve"> и прохождение проектно – сметн</w:t>
            </w:r>
            <w:r>
              <w:t xml:space="preserve">ой </w:t>
            </w:r>
            <w:r w:rsidRPr="00475F2E">
              <w:t>документаци</w:t>
            </w:r>
            <w:r>
              <w:t xml:space="preserve">и </w:t>
            </w:r>
            <w:r w:rsidRPr="00475F2E">
              <w:t>государственн</w:t>
            </w:r>
            <w:r>
              <w:t>ой</w:t>
            </w:r>
            <w:r w:rsidRPr="00475F2E">
              <w:t xml:space="preserve"> экспертиз</w:t>
            </w:r>
            <w:r>
              <w:t>ы</w:t>
            </w:r>
            <w:r w:rsidRPr="00475F2E">
              <w:t xml:space="preserve"> до получения положительного закл</w:t>
            </w:r>
            <w:r>
              <w:t>ючения входит в состав выполнения работ подрядчиком.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lastRenderedPageBreak/>
              <w:t>11. Особые условия проектирования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1. При определении видов и объемов работ по капитальному ремонту автомобильной  дороги руководствоваться Приказом Министерства транспорта РФ от 16 ноября 2012 г. № 402 «Об утверждении Классификации работ по капитальному ремонту, ремонту и содержанию автомобильных дорог»</w:t>
            </w:r>
          </w:p>
          <w:p w:rsidR="00DA7201" w:rsidRPr="00212BEC" w:rsidRDefault="00DA7201" w:rsidP="00EA69C0">
            <w:r w:rsidRPr="00212BEC">
              <w:t xml:space="preserve">2. Капитальный ремонт предусмотреть с корректировкой плана и профиля автодороги в пределах существующей </w:t>
            </w:r>
            <w:r w:rsidRPr="00212BEC">
              <w:lastRenderedPageBreak/>
              <w:t xml:space="preserve">полосы отвода без занятия дополнительных земель в постоянное пользование. </w:t>
            </w:r>
          </w:p>
          <w:p w:rsidR="00DA7201" w:rsidRPr="00212BEC" w:rsidRDefault="00DA7201" w:rsidP="00EA69C0">
            <w:r w:rsidRPr="00212BEC">
              <w:t xml:space="preserve">3. Капитальный ремонт предусмотреть без перерыва движения автотранспорта, предусмотреть объезд. </w:t>
            </w:r>
          </w:p>
          <w:p w:rsidR="00DA7201" w:rsidRPr="00212BEC" w:rsidRDefault="00DA7201" w:rsidP="00EA69C0">
            <w:r>
              <w:t>4</w:t>
            </w:r>
            <w:r w:rsidRPr="00212BEC">
              <w:t xml:space="preserve">. Предусмотреть необходимые мероприятия по  рекультивации нарушенных земель и охране окружающей среды. </w:t>
            </w:r>
          </w:p>
          <w:p w:rsidR="00DA7201" w:rsidRPr="00212BEC" w:rsidRDefault="00DA7201" w:rsidP="00EA69C0">
            <w:r>
              <w:t>5</w:t>
            </w:r>
            <w:r w:rsidRPr="00212BEC">
              <w:t>. Предусмотреть принятие технических решений с применением новой технологии и материалов  без ухудшения качества и надежности работ, с учетом дорожных знаков, недостающих светофорных групп,  в местах пешеходных переходов светофоров Т</w:t>
            </w:r>
            <w:proofErr w:type="gramStart"/>
            <w:r w:rsidRPr="00212BEC">
              <w:t>7</w:t>
            </w:r>
            <w:proofErr w:type="gramEnd"/>
            <w:r w:rsidRPr="00212BEC">
              <w:t xml:space="preserve"> в соответствии со схемой организации дорожного движения на проектируемом участке, в соответствии с требованиями законодательства РФ в части безопасности дорожного движения.</w:t>
            </w:r>
          </w:p>
          <w:p w:rsidR="00DA7201" w:rsidRPr="00212BEC" w:rsidRDefault="00DA7201" w:rsidP="00EA69C0">
            <w:r>
              <w:t>6</w:t>
            </w:r>
            <w:r w:rsidRPr="00212BEC">
              <w:t>. Согласовать проектно – сметную документацию с организациями в соответствии с действующим законодательством.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lastRenderedPageBreak/>
              <w:t>12. Начало работ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212BEC">
              <w:t>С момента заключения муниципального контракта.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 w:rsidRPr="00212BEC">
              <w:t>13. Срок предоставления проектной документации Заказчику.</w:t>
            </w:r>
          </w:p>
        </w:tc>
        <w:tc>
          <w:tcPr>
            <w:tcW w:w="6839" w:type="dxa"/>
          </w:tcPr>
          <w:p w:rsidR="00DA7201" w:rsidRPr="00212BEC" w:rsidRDefault="00DA7201" w:rsidP="00EA69C0">
            <w:proofErr w:type="gramStart"/>
            <w:r w:rsidRPr="00212BEC">
              <w:t>с</w:t>
            </w:r>
            <w:proofErr w:type="gramEnd"/>
            <w:r w:rsidRPr="00212BEC">
              <w:t xml:space="preserve"> момента заключения муниципального контракта, но не позднее 01.07.2017г.</w:t>
            </w:r>
          </w:p>
        </w:tc>
      </w:tr>
      <w:tr w:rsidR="00DA7201" w:rsidRPr="00212BEC" w:rsidTr="00EA69C0">
        <w:tc>
          <w:tcPr>
            <w:tcW w:w="3298" w:type="dxa"/>
          </w:tcPr>
          <w:p w:rsidR="00DA7201" w:rsidRPr="00212BEC" w:rsidRDefault="00DA7201" w:rsidP="00EA69C0">
            <w:r>
              <w:t xml:space="preserve">14. </w:t>
            </w:r>
            <w:r w:rsidRPr="00FF3051">
              <w:rPr>
                <w:color w:val="000000"/>
              </w:rPr>
              <w:t>Требования к сдаче проектной документации Заказчику</w:t>
            </w:r>
          </w:p>
        </w:tc>
        <w:tc>
          <w:tcPr>
            <w:tcW w:w="6839" w:type="dxa"/>
          </w:tcPr>
          <w:p w:rsidR="00DA7201" w:rsidRPr="00212BEC" w:rsidRDefault="00DA7201" w:rsidP="00EA69C0">
            <w:r w:rsidRPr="00196D50">
              <w:rPr>
                <w:color w:val="000000"/>
              </w:rPr>
              <w:t xml:space="preserve">Работы считаются выполненными при условии сдачи Заказчику проектной документации подготовленной в полном объеме, </w:t>
            </w:r>
            <w:proofErr w:type="gramStart"/>
            <w:r w:rsidRPr="00196D50">
              <w:rPr>
                <w:color w:val="000000"/>
              </w:rPr>
              <w:t>соответствующих</w:t>
            </w:r>
            <w:proofErr w:type="gramEnd"/>
            <w:r w:rsidRPr="00196D50">
              <w:rPr>
                <w:color w:val="000000"/>
              </w:rPr>
              <w:t xml:space="preserve"> требованиям настоящего технического задания</w:t>
            </w:r>
            <w:r>
              <w:rPr>
                <w:color w:val="000000"/>
              </w:rPr>
              <w:t>.</w:t>
            </w:r>
          </w:p>
        </w:tc>
      </w:tr>
    </w:tbl>
    <w:p w:rsidR="00DA7201" w:rsidRPr="00212BEC" w:rsidRDefault="00DA7201" w:rsidP="00DA7201">
      <w:pPr>
        <w:pStyle w:val="a3"/>
        <w:rPr>
          <w:rFonts w:ascii="Times New Roman" w:hAnsi="Times New Roman"/>
        </w:rPr>
      </w:pPr>
    </w:p>
    <w:p w:rsidR="00DA7201" w:rsidRDefault="00DA7201" w:rsidP="00DA7201">
      <w:pPr>
        <w:autoSpaceDE w:val="0"/>
        <w:ind w:right="-1"/>
        <w:jc w:val="center"/>
        <w:outlineLvl w:val="0"/>
        <w:rPr>
          <w:b/>
        </w:rPr>
      </w:pPr>
    </w:p>
    <w:p w:rsidR="00DA7201" w:rsidRPr="00493D15" w:rsidRDefault="00DA7201" w:rsidP="00DA7201">
      <w:pPr>
        <w:keepNext/>
        <w:keepLines/>
        <w:pageBreakBefore/>
        <w:widowControl w:val="0"/>
        <w:suppressLineNumbers/>
        <w:spacing w:after="0"/>
        <w:ind w:firstLine="567"/>
        <w:jc w:val="center"/>
        <w:rPr>
          <w:b/>
        </w:rPr>
      </w:pPr>
      <w:r w:rsidRPr="00493D15">
        <w:rPr>
          <w:b/>
        </w:rPr>
        <w:lastRenderedPageBreak/>
        <w:t>III. Обоснование начальной (максимальной) цены контракта</w:t>
      </w:r>
    </w:p>
    <w:p w:rsidR="00DA7201" w:rsidRPr="00493D15" w:rsidRDefault="00DA7201" w:rsidP="00DA7201">
      <w:pPr>
        <w:ind w:firstLine="540"/>
      </w:pPr>
    </w:p>
    <w:p w:rsidR="00DA7201" w:rsidRPr="00F37624" w:rsidRDefault="00DA7201" w:rsidP="00DA7201">
      <w:r w:rsidRPr="00F37624">
        <w:t>Для расчета начальной (максимальной) цены контракта применен</w:t>
      </w:r>
      <w:r>
        <w:t xml:space="preserve"> проектно-сметный </w:t>
      </w:r>
      <w:r w:rsidRPr="004B58AE">
        <w:t>метод</w:t>
      </w:r>
      <w:r w:rsidRPr="00C42852">
        <w:t xml:space="preserve"> </w:t>
      </w:r>
      <w:r>
        <w:t>в соответствии с Постановлением Совета министров Республики Крым от 9 декабря 2014 г. N 506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Pr="00C42852">
        <w:t xml:space="preserve"> (Приложение №1).</w:t>
      </w:r>
    </w:p>
    <w:p w:rsidR="00AF6976" w:rsidRDefault="00AF6976"/>
    <w:sectPr w:rsidR="00AF6976" w:rsidSect="00AF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59E"/>
    <w:multiLevelType w:val="hybridMultilevel"/>
    <w:tmpl w:val="3536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201"/>
    <w:rsid w:val="00AF6976"/>
    <w:rsid w:val="00D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0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2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99"/>
    <w:qFormat/>
    <w:rsid w:val="00DA720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DA72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ИКЦ-Проект</dc:creator>
  <cp:keywords/>
  <dc:description/>
  <cp:lastModifiedBy>ИКЦ-Проект</cp:lastModifiedBy>
  <cp:revision>2</cp:revision>
  <dcterms:created xsi:type="dcterms:W3CDTF">2017-04-11T10:51:00Z</dcterms:created>
  <dcterms:modified xsi:type="dcterms:W3CDTF">2017-04-11T10:52:00Z</dcterms:modified>
</cp:coreProperties>
</file>