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D29" w:rsidRPr="005976A8" w:rsidRDefault="004D43A4" w:rsidP="00D331C8">
      <w:pPr>
        <w:shd w:val="clear" w:color="auto" w:fill="FFFFFF"/>
        <w:ind w:right="1"/>
        <w:jc w:val="center"/>
        <w:rPr>
          <w:b/>
          <w:sz w:val="22"/>
          <w:szCs w:val="22"/>
        </w:rPr>
      </w:pPr>
      <w:r w:rsidRPr="005976A8">
        <w:rPr>
          <w:b/>
          <w:spacing w:val="-4"/>
          <w:sz w:val="22"/>
          <w:szCs w:val="22"/>
        </w:rPr>
        <w:t xml:space="preserve"> </w:t>
      </w:r>
      <w:r w:rsidR="00374D29" w:rsidRPr="005976A8">
        <w:rPr>
          <w:b/>
          <w:spacing w:val="-4"/>
          <w:sz w:val="22"/>
          <w:szCs w:val="22"/>
        </w:rPr>
        <w:t>СПРАВКА</w:t>
      </w:r>
    </w:p>
    <w:p w:rsidR="00F60F05" w:rsidRPr="005976A8" w:rsidRDefault="00552CB2" w:rsidP="00583096">
      <w:pPr>
        <w:shd w:val="clear" w:color="auto" w:fill="FFFFFF"/>
        <w:ind w:right="1"/>
        <w:jc w:val="center"/>
        <w:rPr>
          <w:b/>
          <w:spacing w:val="-1"/>
          <w:sz w:val="22"/>
          <w:szCs w:val="22"/>
        </w:rPr>
      </w:pPr>
      <w:r>
        <w:rPr>
          <w:b/>
          <w:spacing w:val="-1"/>
          <w:sz w:val="22"/>
          <w:szCs w:val="22"/>
        </w:rPr>
        <w:t>о внесении</w:t>
      </w:r>
      <w:r w:rsidR="00374D29" w:rsidRPr="005976A8">
        <w:rPr>
          <w:b/>
          <w:spacing w:val="-1"/>
          <w:sz w:val="22"/>
          <w:szCs w:val="22"/>
        </w:rPr>
        <w:t xml:space="preserve"> изменени</w:t>
      </w:r>
      <w:r>
        <w:rPr>
          <w:b/>
          <w:spacing w:val="-1"/>
          <w:sz w:val="22"/>
          <w:szCs w:val="22"/>
        </w:rPr>
        <w:t>й</w:t>
      </w:r>
      <w:r w:rsidR="00374D29" w:rsidRPr="005976A8">
        <w:rPr>
          <w:b/>
          <w:spacing w:val="-1"/>
          <w:sz w:val="22"/>
          <w:szCs w:val="22"/>
        </w:rPr>
        <w:t xml:space="preserve"> в </w:t>
      </w:r>
      <w:r w:rsidR="00417BEC" w:rsidRPr="005976A8">
        <w:rPr>
          <w:b/>
          <w:spacing w:val="-1"/>
          <w:sz w:val="22"/>
          <w:szCs w:val="22"/>
        </w:rPr>
        <w:t>проектно-</w:t>
      </w:r>
      <w:r w:rsidR="007F1D7D" w:rsidRPr="005976A8">
        <w:rPr>
          <w:b/>
          <w:spacing w:val="-1"/>
          <w:sz w:val="22"/>
          <w:szCs w:val="22"/>
        </w:rPr>
        <w:t>сметную</w:t>
      </w:r>
      <w:r w:rsidR="00374D29" w:rsidRPr="005976A8">
        <w:rPr>
          <w:b/>
          <w:spacing w:val="-1"/>
          <w:sz w:val="22"/>
          <w:szCs w:val="22"/>
        </w:rPr>
        <w:t xml:space="preserve"> документацию по замечаниям</w:t>
      </w:r>
    </w:p>
    <w:p w:rsidR="00D331C8" w:rsidRPr="005976A8" w:rsidRDefault="00D331C8" w:rsidP="00D331C8">
      <w:pPr>
        <w:shd w:val="clear" w:color="auto" w:fill="FFFFFF"/>
        <w:ind w:right="1"/>
        <w:rPr>
          <w:spacing w:val="-2"/>
          <w:sz w:val="22"/>
          <w:szCs w:val="22"/>
        </w:rPr>
      </w:pPr>
    </w:p>
    <w:p w:rsidR="007C351F" w:rsidRPr="005976A8" w:rsidRDefault="00374D29" w:rsidP="00D331C8">
      <w:pPr>
        <w:shd w:val="clear" w:color="auto" w:fill="FFFFFF"/>
        <w:ind w:right="1"/>
        <w:rPr>
          <w:spacing w:val="-2"/>
          <w:sz w:val="22"/>
          <w:szCs w:val="22"/>
        </w:rPr>
      </w:pPr>
      <w:r w:rsidRPr="005976A8">
        <w:rPr>
          <w:b/>
          <w:spacing w:val="-2"/>
          <w:sz w:val="22"/>
          <w:szCs w:val="22"/>
        </w:rPr>
        <w:t>Наименование объекта:</w:t>
      </w:r>
      <w:r w:rsidRPr="005976A8">
        <w:rPr>
          <w:spacing w:val="-2"/>
          <w:sz w:val="22"/>
          <w:szCs w:val="22"/>
        </w:rPr>
        <w:t xml:space="preserve"> </w:t>
      </w:r>
      <w:r w:rsidR="00F60F05" w:rsidRPr="005976A8">
        <w:rPr>
          <w:spacing w:val="-2"/>
          <w:sz w:val="22"/>
          <w:szCs w:val="22"/>
        </w:rPr>
        <w:t>«</w:t>
      </w:r>
      <w:r w:rsidR="00DF13D1" w:rsidRPr="005976A8">
        <w:rPr>
          <w:spacing w:val="-2"/>
          <w:sz w:val="22"/>
          <w:szCs w:val="22"/>
        </w:rPr>
        <w:t>Реконструкция ул. Революции от ЦКР до ул. Сибирской с обустройством трамвайной линии</w:t>
      </w:r>
      <w:r w:rsidR="00F60F05" w:rsidRPr="005976A8">
        <w:rPr>
          <w:spacing w:val="-2"/>
          <w:sz w:val="22"/>
          <w:szCs w:val="22"/>
        </w:rPr>
        <w:t>»</w:t>
      </w:r>
    </w:p>
    <w:p w:rsidR="00374D29" w:rsidRPr="008B3AB8" w:rsidRDefault="00374D29" w:rsidP="00536AEB">
      <w:pPr>
        <w:rPr>
          <w:sz w:val="22"/>
          <w:szCs w:val="22"/>
        </w:rPr>
      </w:pPr>
    </w:p>
    <w:tbl>
      <w:tblPr>
        <w:tblW w:w="11199" w:type="dxa"/>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516"/>
        <w:gridCol w:w="4305"/>
        <w:gridCol w:w="1701"/>
        <w:gridCol w:w="1701"/>
        <w:gridCol w:w="1417"/>
        <w:gridCol w:w="1559"/>
      </w:tblGrid>
      <w:tr w:rsidR="00552CB2" w:rsidRPr="008B3AB8" w:rsidTr="0025051C">
        <w:tc>
          <w:tcPr>
            <w:tcW w:w="516" w:type="dxa"/>
            <w:tcMar>
              <w:left w:w="57" w:type="dxa"/>
              <w:right w:w="57" w:type="dxa"/>
            </w:tcMar>
            <w:vAlign w:val="center"/>
          </w:tcPr>
          <w:p w:rsidR="00552CB2" w:rsidRPr="008B3AB8" w:rsidRDefault="00552CB2" w:rsidP="003C6549">
            <w:pPr>
              <w:shd w:val="clear" w:color="auto" w:fill="FFFFFF"/>
              <w:jc w:val="center"/>
              <w:rPr>
                <w:b/>
                <w:color w:val="000000"/>
                <w:sz w:val="22"/>
                <w:szCs w:val="22"/>
              </w:rPr>
            </w:pPr>
            <w:r w:rsidRPr="008B3AB8">
              <w:rPr>
                <w:b/>
                <w:color w:val="000000"/>
                <w:sz w:val="22"/>
                <w:szCs w:val="22"/>
              </w:rPr>
              <w:t>№</w:t>
            </w:r>
          </w:p>
          <w:p w:rsidR="00552CB2" w:rsidRPr="008B3AB8" w:rsidRDefault="00552CB2" w:rsidP="00D32B80">
            <w:pPr>
              <w:shd w:val="clear" w:color="auto" w:fill="FFFFFF"/>
              <w:jc w:val="center"/>
              <w:rPr>
                <w:b/>
                <w:sz w:val="22"/>
                <w:szCs w:val="22"/>
              </w:rPr>
            </w:pPr>
            <w:r w:rsidRPr="008B3AB8">
              <w:rPr>
                <w:b/>
                <w:color w:val="000000"/>
                <w:spacing w:val="-16"/>
                <w:sz w:val="22"/>
                <w:szCs w:val="22"/>
              </w:rPr>
              <w:t xml:space="preserve">п/п </w:t>
            </w:r>
          </w:p>
        </w:tc>
        <w:tc>
          <w:tcPr>
            <w:tcW w:w="4305" w:type="dxa"/>
            <w:tcMar>
              <w:left w:w="57" w:type="dxa"/>
              <w:right w:w="57" w:type="dxa"/>
            </w:tcMar>
            <w:vAlign w:val="center"/>
          </w:tcPr>
          <w:p w:rsidR="00552CB2" w:rsidRPr="008B3AB8" w:rsidRDefault="00552CB2" w:rsidP="003C6549">
            <w:pPr>
              <w:jc w:val="center"/>
              <w:rPr>
                <w:b/>
                <w:sz w:val="22"/>
                <w:szCs w:val="22"/>
              </w:rPr>
            </w:pPr>
            <w:r w:rsidRPr="008B3AB8">
              <w:rPr>
                <w:b/>
                <w:color w:val="000000"/>
                <w:spacing w:val="-2"/>
                <w:sz w:val="22"/>
                <w:szCs w:val="22"/>
              </w:rPr>
              <w:t>Несоответствия сметной документации нормативам в области сметного нормирования, проектной документации</w:t>
            </w:r>
          </w:p>
        </w:tc>
        <w:tc>
          <w:tcPr>
            <w:tcW w:w="1701" w:type="dxa"/>
            <w:tcMar>
              <w:left w:w="57" w:type="dxa"/>
              <w:right w:w="57" w:type="dxa"/>
            </w:tcMar>
            <w:vAlign w:val="center"/>
          </w:tcPr>
          <w:p w:rsidR="00552CB2" w:rsidRPr="008B3AB8" w:rsidRDefault="0025051C" w:rsidP="003C6549">
            <w:pPr>
              <w:jc w:val="center"/>
              <w:rPr>
                <w:b/>
                <w:sz w:val="22"/>
                <w:szCs w:val="22"/>
              </w:rPr>
            </w:pPr>
            <w:r>
              <w:rPr>
                <w:b/>
                <w:color w:val="000000"/>
                <w:spacing w:val="-1"/>
                <w:sz w:val="22"/>
                <w:szCs w:val="22"/>
              </w:rPr>
              <w:t>Срок корректировки данного замечания</w:t>
            </w:r>
          </w:p>
        </w:tc>
        <w:tc>
          <w:tcPr>
            <w:tcW w:w="1701" w:type="dxa"/>
            <w:tcMar>
              <w:left w:w="57" w:type="dxa"/>
              <w:right w:w="57" w:type="dxa"/>
            </w:tcMar>
            <w:vAlign w:val="center"/>
          </w:tcPr>
          <w:p w:rsidR="00552CB2" w:rsidRPr="008B3AB8" w:rsidRDefault="00552CB2" w:rsidP="0025051C">
            <w:pPr>
              <w:jc w:val="center"/>
              <w:rPr>
                <w:b/>
                <w:sz w:val="22"/>
                <w:szCs w:val="22"/>
              </w:rPr>
            </w:pPr>
            <w:r w:rsidRPr="008B3AB8">
              <w:rPr>
                <w:b/>
                <w:color w:val="000000"/>
                <w:spacing w:val="-5"/>
                <w:sz w:val="22"/>
                <w:szCs w:val="22"/>
              </w:rPr>
              <w:t xml:space="preserve">Ссылка </w:t>
            </w:r>
            <w:r w:rsidR="0025051C">
              <w:rPr>
                <w:b/>
                <w:color w:val="000000"/>
                <w:spacing w:val="-5"/>
                <w:sz w:val="22"/>
                <w:szCs w:val="22"/>
              </w:rPr>
              <w:t>на страницы и чертежи, на которые влияет исправление по данным замечаниям</w:t>
            </w:r>
          </w:p>
        </w:tc>
        <w:tc>
          <w:tcPr>
            <w:tcW w:w="1417" w:type="dxa"/>
            <w:vAlign w:val="center"/>
          </w:tcPr>
          <w:p w:rsidR="00552CB2" w:rsidRPr="008B3AB8" w:rsidRDefault="00552CB2" w:rsidP="00552CB2">
            <w:pPr>
              <w:jc w:val="center"/>
              <w:rPr>
                <w:b/>
                <w:color w:val="000000"/>
                <w:spacing w:val="-5"/>
                <w:sz w:val="22"/>
                <w:szCs w:val="22"/>
              </w:rPr>
            </w:pPr>
            <w:r>
              <w:rPr>
                <w:b/>
                <w:color w:val="000000"/>
                <w:spacing w:val="-5"/>
                <w:sz w:val="22"/>
                <w:szCs w:val="22"/>
              </w:rPr>
              <w:t xml:space="preserve">Необходимые исходные данные </w:t>
            </w:r>
          </w:p>
        </w:tc>
        <w:tc>
          <w:tcPr>
            <w:tcW w:w="1559" w:type="dxa"/>
            <w:vAlign w:val="center"/>
          </w:tcPr>
          <w:p w:rsidR="00552CB2" w:rsidRDefault="00552CB2" w:rsidP="00552CB2">
            <w:pPr>
              <w:jc w:val="center"/>
              <w:rPr>
                <w:b/>
                <w:color w:val="000000"/>
                <w:spacing w:val="-5"/>
                <w:sz w:val="22"/>
                <w:szCs w:val="22"/>
              </w:rPr>
            </w:pPr>
            <w:r>
              <w:rPr>
                <w:b/>
                <w:color w:val="000000"/>
                <w:spacing w:val="-5"/>
                <w:sz w:val="22"/>
                <w:szCs w:val="22"/>
              </w:rPr>
              <w:t>Ответственный за исправление</w:t>
            </w:r>
          </w:p>
        </w:tc>
      </w:tr>
      <w:tr w:rsidR="00552CB2" w:rsidRPr="008B3AB8" w:rsidTr="0025051C">
        <w:trPr>
          <w:trHeight w:val="70"/>
        </w:trPr>
        <w:tc>
          <w:tcPr>
            <w:tcW w:w="11199" w:type="dxa"/>
            <w:gridSpan w:val="6"/>
            <w:tcMar>
              <w:left w:w="57" w:type="dxa"/>
              <w:right w:w="57" w:type="dxa"/>
            </w:tcMar>
            <w:vAlign w:val="center"/>
          </w:tcPr>
          <w:p w:rsidR="00552CB2" w:rsidRPr="00552CB2" w:rsidRDefault="00552CB2" w:rsidP="00552CB2">
            <w:pPr>
              <w:spacing w:line="360" w:lineRule="auto"/>
              <w:contextualSpacing/>
              <w:jc w:val="center"/>
              <w:rPr>
                <w:b/>
                <w:i/>
                <w:sz w:val="24"/>
                <w:szCs w:val="24"/>
                <w:u w:val="single"/>
              </w:rPr>
            </w:pPr>
            <w:r w:rsidRPr="00AA39CE">
              <w:rPr>
                <w:b/>
                <w:i/>
                <w:sz w:val="24"/>
                <w:szCs w:val="24"/>
                <w:u w:val="single"/>
              </w:rPr>
              <w:t>Замечания к комплекту ФВФ только по перекрестку ул. Революции – пр. Комсомольский, остальные перекрестки по аналогии</w:t>
            </w:r>
          </w:p>
        </w:tc>
      </w:tr>
      <w:tr w:rsidR="00552CB2" w:rsidRPr="008B3AB8" w:rsidTr="0010156B">
        <w:trPr>
          <w:trHeight w:val="70"/>
        </w:trPr>
        <w:tc>
          <w:tcPr>
            <w:tcW w:w="516" w:type="dxa"/>
            <w:tcMar>
              <w:left w:w="57" w:type="dxa"/>
              <w:right w:w="57" w:type="dxa"/>
            </w:tcMar>
            <w:vAlign w:val="center"/>
          </w:tcPr>
          <w:p w:rsidR="00552CB2" w:rsidRPr="00AF7627" w:rsidRDefault="00552CB2" w:rsidP="00583096">
            <w:pPr>
              <w:pStyle w:val="a4"/>
              <w:numPr>
                <w:ilvl w:val="0"/>
                <w:numId w:val="9"/>
              </w:numPr>
              <w:shd w:val="clear" w:color="auto" w:fill="FFFFFF"/>
              <w:jc w:val="center"/>
              <w:rPr>
                <w:b/>
                <w:color w:val="000000"/>
                <w:sz w:val="22"/>
                <w:szCs w:val="22"/>
              </w:rPr>
            </w:pPr>
          </w:p>
        </w:tc>
        <w:tc>
          <w:tcPr>
            <w:tcW w:w="4305" w:type="dxa"/>
            <w:tcMar>
              <w:left w:w="57" w:type="dxa"/>
              <w:right w:w="57" w:type="dxa"/>
            </w:tcMar>
          </w:tcPr>
          <w:p w:rsidR="00552CB2" w:rsidRPr="00552CB2" w:rsidRDefault="00552CB2" w:rsidP="00552CB2">
            <w:pPr>
              <w:ind w:firstLine="708"/>
              <w:contextualSpacing/>
              <w:jc w:val="both"/>
            </w:pPr>
            <w:r w:rsidRPr="00552CB2">
              <w:t>Предоставленная документация не соответствует перечисленным ниже пунктам Технических условий, выданных МКУ «Пермская дирекция дорожного движения».</w:t>
            </w:r>
          </w:p>
          <w:p w:rsidR="00552CB2" w:rsidRPr="00552CB2" w:rsidRDefault="00552CB2" w:rsidP="00552CB2">
            <w:pPr>
              <w:ind w:firstLine="708"/>
              <w:contextualSpacing/>
              <w:jc w:val="both"/>
            </w:pPr>
            <w:r w:rsidRPr="00552CB2">
              <w:t>Пункт 3 – состав и оформление проекта принять в соответствии с Постановлением Правительства РФ от 16.02.2008 №87, а именно:</w:t>
            </w:r>
          </w:p>
          <w:p w:rsidR="00552CB2" w:rsidRPr="00552CB2" w:rsidRDefault="00552CB2" w:rsidP="00552CB2">
            <w:pPr>
              <w:ind w:firstLine="708"/>
              <w:contextualSpacing/>
              <w:jc w:val="both"/>
            </w:pPr>
            <w:r w:rsidRPr="00552CB2">
              <w:t>Согласно п. 36 Постановления №87 дополнить текстовую часть сведениями о топографических, инженерно-геологических, гидрогеологических, метеорологических и климатических условиях участка, на котором будет осуществляться строительство линейного объекта; сведениями о категории и классе линейного объекта; сведениями о проектной мощности (пропускной способности, грузообороте, интенсивности движения и др.) линейного объекта; показателями и характеристиками технологического оборудования и устройств линейного объекта (в том числе надежность, устойчивость, экономичность, возможность автоматического регулирования, минимальность выбросов (сбросов) загрязняющих веществ, компактность, использование новейших технологий); перечнем мероприятий по энергосбережению; обоснованием количества и типов оборудования; расчетом объемов земляных работ; описанием конструктивной схемы искусственных сооружений, используемых материалов и изделий (фундаментов, опор); перечнем искусственных сооружений с указанием их основных характеристик и параметров (количество, длина, расчетная схема, расходы сборного и монолитного железобетона, бетона, металла); сведениями о способах пересечения линейного объекта.</w:t>
            </w:r>
          </w:p>
          <w:p w:rsidR="00552CB2" w:rsidRDefault="00552CB2" w:rsidP="00552CB2">
            <w:pPr>
              <w:ind w:firstLine="708"/>
              <w:contextualSpacing/>
              <w:jc w:val="both"/>
            </w:pPr>
            <w:r w:rsidRPr="00552CB2">
              <w:tab/>
              <w:t xml:space="preserve">Исправить графическую часть – предоставленные схемы не соответствуют техническим условиям выбранного производителя оборудования. Требуется установка дополнительных опор (с фундаментами), консольных кронштейнов длины, обеспечивающей фиксацию нарушений ст. 12.9 (согласно п. 8.10 ТУ, выданных МКУ «Пермская дирекция дорожного движения»). В составе исправленной графической части предоставить чертежи конструктивных решений несущих конструкций и отдельных элементов опор; чертежи основных элементов искусственных сооружений, конструкций; </w:t>
            </w:r>
            <w:r w:rsidRPr="00552CB2">
              <w:lastRenderedPageBreak/>
              <w:t>схемы крепления элементов конструкций.</w:t>
            </w:r>
          </w:p>
          <w:p w:rsidR="0010156B" w:rsidRPr="00552CB2" w:rsidRDefault="0010156B" w:rsidP="00552CB2">
            <w:pPr>
              <w:ind w:firstLine="708"/>
              <w:contextualSpacing/>
              <w:jc w:val="both"/>
            </w:pPr>
          </w:p>
          <w:p w:rsidR="00552CB2" w:rsidRPr="00552CB2" w:rsidRDefault="00552CB2" w:rsidP="00552CB2">
            <w:pPr>
              <w:ind w:firstLine="708"/>
              <w:contextualSpacing/>
              <w:jc w:val="both"/>
            </w:pPr>
            <w:r w:rsidRPr="00552CB2">
              <w:tab/>
              <w:t>Пункт 4 – не предоставлены технические условия на присоединение мощности.</w:t>
            </w:r>
          </w:p>
          <w:p w:rsidR="00552CB2" w:rsidRDefault="00552CB2" w:rsidP="00552CB2">
            <w:pPr>
              <w:ind w:firstLine="708"/>
              <w:contextualSpacing/>
              <w:jc w:val="both"/>
            </w:pPr>
            <w:r w:rsidRPr="00552CB2">
              <w:tab/>
              <w:t xml:space="preserve">Пункт 8.2 – проектом не учтен демонтаж существующего комплекса </w:t>
            </w:r>
            <w:proofErr w:type="spellStart"/>
            <w:r w:rsidRPr="00552CB2">
              <w:t>фотовидеофиксации</w:t>
            </w:r>
            <w:proofErr w:type="spellEnd"/>
            <w:r w:rsidRPr="00552CB2">
              <w:t xml:space="preserve"> «Одиссей», отсутствуют указания о передаче балансодержателю демонтированного оборудования.</w:t>
            </w:r>
          </w:p>
          <w:p w:rsidR="0010156B" w:rsidRPr="00552CB2" w:rsidRDefault="0010156B" w:rsidP="00552CB2">
            <w:pPr>
              <w:ind w:firstLine="708"/>
              <w:contextualSpacing/>
              <w:jc w:val="both"/>
            </w:pPr>
          </w:p>
          <w:p w:rsidR="00552CB2" w:rsidRDefault="00552CB2" w:rsidP="00552CB2">
            <w:pPr>
              <w:ind w:firstLine="708"/>
              <w:contextualSpacing/>
              <w:jc w:val="both"/>
            </w:pPr>
            <w:r w:rsidRPr="00552CB2">
              <w:tab/>
              <w:t>Пункт 8.10.1 – проектом не обеспечена фиксация нарушений ст. 12.9, 12.13, ст.12.17, ст. 12.12 на разделителе на пр. Комсомольского.</w:t>
            </w:r>
          </w:p>
          <w:p w:rsidR="0010156B" w:rsidRPr="00552CB2" w:rsidRDefault="0010156B" w:rsidP="00552CB2">
            <w:pPr>
              <w:ind w:firstLine="708"/>
              <w:contextualSpacing/>
              <w:jc w:val="both"/>
            </w:pPr>
          </w:p>
          <w:p w:rsidR="00552CB2" w:rsidRDefault="00552CB2" w:rsidP="00552CB2">
            <w:pPr>
              <w:ind w:firstLine="708"/>
              <w:contextualSpacing/>
              <w:jc w:val="both"/>
            </w:pPr>
            <w:r w:rsidRPr="00552CB2">
              <w:tab/>
              <w:t xml:space="preserve">Пункт 8.10.3 – в проекте отсутствуют </w:t>
            </w:r>
            <w:proofErr w:type="spellStart"/>
            <w:r w:rsidRPr="00552CB2">
              <w:t>вандалозащищенные</w:t>
            </w:r>
            <w:proofErr w:type="spellEnd"/>
            <w:r w:rsidRPr="00552CB2">
              <w:t xml:space="preserve"> шкафы.</w:t>
            </w:r>
          </w:p>
          <w:p w:rsidR="0010156B" w:rsidRPr="00552CB2" w:rsidRDefault="0010156B" w:rsidP="00552CB2">
            <w:pPr>
              <w:ind w:firstLine="708"/>
              <w:contextualSpacing/>
              <w:jc w:val="both"/>
            </w:pPr>
          </w:p>
          <w:p w:rsidR="00552CB2" w:rsidRPr="00552CB2" w:rsidRDefault="00552CB2" w:rsidP="00552CB2">
            <w:pPr>
              <w:ind w:firstLine="708"/>
              <w:contextualSpacing/>
              <w:jc w:val="both"/>
            </w:pPr>
            <w:r w:rsidRPr="00552CB2">
              <w:tab/>
              <w:t>Предоставить ведомость объемов работ.</w:t>
            </w:r>
          </w:p>
        </w:tc>
        <w:tc>
          <w:tcPr>
            <w:tcW w:w="1701" w:type="dxa"/>
            <w:tcMar>
              <w:left w:w="57" w:type="dxa"/>
              <w:right w:w="57" w:type="dxa"/>
            </w:tcMar>
          </w:tcPr>
          <w:p w:rsidR="0010156B" w:rsidRPr="0010156B" w:rsidRDefault="0010156B" w:rsidP="0010156B">
            <w:pPr>
              <w:rPr>
                <w:color w:val="FF0000"/>
                <w:sz w:val="22"/>
                <w:szCs w:val="22"/>
              </w:rPr>
            </w:pPr>
            <w:bookmarkStart w:id="0" w:name="_GoBack"/>
            <w:bookmarkEnd w:id="0"/>
          </w:p>
        </w:tc>
        <w:tc>
          <w:tcPr>
            <w:tcW w:w="1701" w:type="dxa"/>
            <w:tcMar>
              <w:left w:w="57" w:type="dxa"/>
              <w:right w:w="57" w:type="dxa"/>
            </w:tcMar>
          </w:tcPr>
          <w:p w:rsidR="0010156B" w:rsidRPr="00C42B81" w:rsidRDefault="0010156B" w:rsidP="0010156B">
            <w:pPr>
              <w:rPr>
                <w:color w:val="FF0000"/>
                <w:sz w:val="22"/>
                <w:szCs w:val="22"/>
              </w:rPr>
            </w:pPr>
          </w:p>
        </w:tc>
        <w:tc>
          <w:tcPr>
            <w:tcW w:w="1417" w:type="dxa"/>
          </w:tcPr>
          <w:p w:rsidR="0010156B" w:rsidRPr="00C42B81" w:rsidRDefault="0010156B" w:rsidP="0010156B">
            <w:pPr>
              <w:rPr>
                <w:color w:val="FF0000"/>
                <w:sz w:val="22"/>
                <w:szCs w:val="22"/>
              </w:rPr>
            </w:pPr>
          </w:p>
        </w:tc>
        <w:tc>
          <w:tcPr>
            <w:tcW w:w="1559" w:type="dxa"/>
          </w:tcPr>
          <w:p w:rsidR="0010156B" w:rsidRPr="00C42B81" w:rsidRDefault="0010156B" w:rsidP="0010156B">
            <w:pPr>
              <w:rPr>
                <w:color w:val="FF0000"/>
                <w:sz w:val="22"/>
                <w:szCs w:val="22"/>
              </w:rPr>
            </w:pPr>
          </w:p>
        </w:tc>
      </w:tr>
      <w:tr w:rsidR="00552CB2" w:rsidRPr="008B3AB8" w:rsidTr="0025051C">
        <w:trPr>
          <w:trHeight w:val="70"/>
        </w:trPr>
        <w:tc>
          <w:tcPr>
            <w:tcW w:w="516" w:type="dxa"/>
            <w:tcMar>
              <w:left w:w="57" w:type="dxa"/>
              <w:right w:w="57" w:type="dxa"/>
            </w:tcMar>
            <w:vAlign w:val="center"/>
          </w:tcPr>
          <w:p w:rsidR="00552CB2" w:rsidRPr="00552CB2" w:rsidRDefault="00552CB2" w:rsidP="00552CB2">
            <w:pPr>
              <w:shd w:val="clear" w:color="auto" w:fill="FFFFFF"/>
              <w:jc w:val="center"/>
              <w:rPr>
                <w:b/>
                <w:color w:val="000000"/>
                <w:sz w:val="22"/>
                <w:szCs w:val="22"/>
              </w:rPr>
            </w:pPr>
          </w:p>
        </w:tc>
        <w:tc>
          <w:tcPr>
            <w:tcW w:w="4305" w:type="dxa"/>
            <w:tcMar>
              <w:left w:w="57" w:type="dxa"/>
              <w:right w:w="57" w:type="dxa"/>
            </w:tcMar>
          </w:tcPr>
          <w:p w:rsidR="00552CB2" w:rsidRPr="00552CB2" w:rsidRDefault="00552CB2" w:rsidP="00001B2A">
            <w:pPr>
              <w:ind w:hanging="6"/>
              <w:contextualSpacing/>
              <w:jc w:val="center"/>
              <w:rPr>
                <w:sz w:val="24"/>
                <w:szCs w:val="24"/>
                <w:u w:val="single"/>
              </w:rPr>
            </w:pPr>
            <w:r w:rsidRPr="00001B2A">
              <w:rPr>
                <w:b/>
                <w:u w:val="single"/>
              </w:rPr>
              <w:t>Замечания по предоставленным чертежам:</w:t>
            </w:r>
          </w:p>
        </w:tc>
        <w:tc>
          <w:tcPr>
            <w:tcW w:w="1701" w:type="dxa"/>
            <w:tcMar>
              <w:left w:w="57" w:type="dxa"/>
              <w:right w:w="57" w:type="dxa"/>
            </w:tcMar>
            <w:vAlign w:val="center"/>
          </w:tcPr>
          <w:p w:rsidR="00552CB2" w:rsidRPr="00721EF7" w:rsidRDefault="00552CB2" w:rsidP="00721EF7">
            <w:pPr>
              <w:rPr>
                <w:sz w:val="22"/>
                <w:szCs w:val="22"/>
              </w:rPr>
            </w:pPr>
          </w:p>
        </w:tc>
        <w:tc>
          <w:tcPr>
            <w:tcW w:w="1701" w:type="dxa"/>
            <w:tcMar>
              <w:left w:w="57" w:type="dxa"/>
              <w:right w:w="57" w:type="dxa"/>
            </w:tcMar>
            <w:vAlign w:val="center"/>
          </w:tcPr>
          <w:p w:rsidR="00552CB2" w:rsidRPr="00C42B81" w:rsidRDefault="00552CB2" w:rsidP="00380B5C">
            <w:pPr>
              <w:jc w:val="center"/>
              <w:rPr>
                <w:color w:val="FF0000"/>
                <w:sz w:val="22"/>
                <w:szCs w:val="22"/>
              </w:rPr>
            </w:pPr>
          </w:p>
        </w:tc>
        <w:tc>
          <w:tcPr>
            <w:tcW w:w="1417" w:type="dxa"/>
          </w:tcPr>
          <w:p w:rsidR="00552CB2" w:rsidRPr="00C42B81" w:rsidRDefault="00552CB2" w:rsidP="00380B5C">
            <w:pPr>
              <w:jc w:val="center"/>
              <w:rPr>
                <w:color w:val="FF0000"/>
                <w:sz w:val="22"/>
                <w:szCs w:val="22"/>
              </w:rPr>
            </w:pPr>
          </w:p>
        </w:tc>
        <w:tc>
          <w:tcPr>
            <w:tcW w:w="1559" w:type="dxa"/>
          </w:tcPr>
          <w:p w:rsidR="00552CB2" w:rsidRPr="00C42B81" w:rsidRDefault="00552CB2" w:rsidP="00380B5C">
            <w:pPr>
              <w:jc w:val="center"/>
              <w:rPr>
                <w:color w:val="FF0000"/>
                <w:sz w:val="22"/>
                <w:szCs w:val="22"/>
              </w:rPr>
            </w:pPr>
          </w:p>
        </w:tc>
      </w:tr>
      <w:tr w:rsidR="00552CB2" w:rsidRPr="008B3AB8" w:rsidTr="0025051C">
        <w:trPr>
          <w:trHeight w:val="70"/>
        </w:trPr>
        <w:tc>
          <w:tcPr>
            <w:tcW w:w="516" w:type="dxa"/>
            <w:tcMar>
              <w:left w:w="57" w:type="dxa"/>
              <w:right w:w="57" w:type="dxa"/>
            </w:tcMar>
            <w:vAlign w:val="center"/>
          </w:tcPr>
          <w:p w:rsidR="00552CB2" w:rsidRPr="00AF7627" w:rsidRDefault="00552CB2" w:rsidP="00583096">
            <w:pPr>
              <w:pStyle w:val="a4"/>
              <w:numPr>
                <w:ilvl w:val="0"/>
                <w:numId w:val="9"/>
              </w:numPr>
              <w:shd w:val="clear" w:color="auto" w:fill="FFFFFF"/>
              <w:jc w:val="center"/>
              <w:rPr>
                <w:b/>
                <w:color w:val="000000"/>
                <w:sz w:val="22"/>
                <w:szCs w:val="22"/>
              </w:rPr>
            </w:pPr>
          </w:p>
        </w:tc>
        <w:tc>
          <w:tcPr>
            <w:tcW w:w="4305" w:type="dxa"/>
            <w:tcMar>
              <w:left w:w="57" w:type="dxa"/>
              <w:right w:w="57" w:type="dxa"/>
            </w:tcMar>
          </w:tcPr>
          <w:p w:rsidR="00552CB2" w:rsidRPr="00001B2A" w:rsidRDefault="00552CB2" w:rsidP="00001B2A">
            <w:pPr>
              <w:ind w:firstLine="708"/>
              <w:contextualSpacing/>
              <w:jc w:val="both"/>
            </w:pPr>
            <w:r w:rsidRPr="00001B2A">
              <w:t>Лист «Общие данные» (стр. 34) – обосновать указание в ведомости ссылочных документов применение недействующего ГОСТ 23457-86, технических условий на контроллер УК-2.4. Оформить лист в соответствии с ГОСТ Р 21.1101-2013.</w:t>
            </w:r>
          </w:p>
        </w:tc>
        <w:tc>
          <w:tcPr>
            <w:tcW w:w="1701" w:type="dxa"/>
            <w:tcMar>
              <w:left w:w="57" w:type="dxa"/>
              <w:right w:w="57" w:type="dxa"/>
            </w:tcMar>
            <w:vAlign w:val="center"/>
          </w:tcPr>
          <w:p w:rsidR="00552CB2" w:rsidRPr="00721EF7" w:rsidRDefault="00552CB2" w:rsidP="00721EF7">
            <w:pPr>
              <w:rPr>
                <w:sz w:val="22"/>
                <w:szCs w:val="22"/>
              </w:rPr>
            </w:pPr>
          </w:p>
        </w:tc>
        <w:tc>
          <w:tcPr>
            <w:tcW w:w="1701" w:type="dxa"/>
            <w:tcMar>
              <w:left w:w="57" w:type="dxa"/>
              <w:right w:w="57" w:type="dxa"/>
            </w:tcMar>
            <w:vAlign w:val="center"/>
          </w:tcPr>
          <w:p w:rsidR="00552CB2" w:rsidRPr="00C42B81" w:rsidRDefault="00552CB2" w:rsidP="00380B5C">
            <w:pPr>
              <w:jc w:val="center"/>
              <w:rPr>
                <w:color w:val="FF0000"/>
                <w:sz w:val="22"/>
                <w:szCs w:val="22"/>
              </w:rPr>
            </w:pPr>
          </w:p>
        </w:tc>
        <w:tc>
          <w:tcPr>
            <w:tcW w:w="1417" w:type="dxa"/>
          </w:tcPr>
          <w:p w:rsidR="00552CB2" w:rsidRPr="00C42B81" w:rsidRDefault="00552CB2" w:rsidP="00380B5C">
            <w:pPr>
              <w:jc w:val="center"/>
              <w:rPr>
                <w:color w:val="FF0000"/>
                <w:sz w:val="22"/>
                <w:szCs w:val="22"/>
              </w:rPr>
            </w:pPr>
          </w:p>
        </w:tc>
        <w:tc>
          <w:tcPr>
            <w:tcW w:w="1559" w:type="dxa"/>
          </w:tcPr>
          <w:p w:rsidR="00552CB2" w:rsidRPr="00C42B81" w:rsidRDefault="00552CB2" w:rsidP="00380B5C">
            <w:pPr>
              <w:jc w:val="center"/>
              <w:rPr>
                <w:color w:val="FF0000"/>
                <w:sz w:val="22"/>
                <w:szCs w:val="22"/>
              </w:rPr>
            </w:pPr>
          </w:p>
        </w:tc>
      </w:tr>
      <w:tr w:rsidR="00552CB2" w:rsidRPr="008B3AB8" w:rsidTr="0025051C">
        <w:trPr>
          <w:trHeight w:val="70"/>
        </w:trPr>
        <w:tc>
          <w:tcPr>
            <w:tcW w:w="516" w:type="dxa"/>
            <w:tcMar>
              <w:left w:w="57" w:type="dxa"/>
              <w:right w:w="57" w:type="dxa"/>
            </w:tcMar>
            <w:vAlign w:val="center"/>
          </w:tcPr>
          <w:p w:rsidR="00552CB2" w:rsidRPr="00AF7627" w:rsidRDefault="00552CB2" w:rsidP="00583096">
            <w:pPr>
              <w:pStyle w:val="a4"/>
              <w:numPr>
                <w:ilvl w:val="0"/>
                <w:numId w:val="9"/>
              </w:numPr>
              <w:shd w:val="clear" w:color="auto" w:fill="FFFFFF"/>
              <w:jc w:val="center"/>
              <w:rPr>
                <w:b/>
                <w:color w:val="000000"/>
                <w:sz w:val="22"/>
                <w:szCs w:val="22"/>
              </w:rPr>
            </w:pPr>
          </w:p>
        </w:tc>
        <w:tc>
          <w:tcPr>
            <w:tcW w:w="4305" w:type="dxa"/>
            <w:tcMar>
              <w:left w:w="57" w:type="dxa"/>
              <w:right w:w="57" w:type="dxa"/>
            </w:tcMar>
          </w:tcPr>
          <w:p w:rsidR="005D3D8B" w:rsidRDefault="00552CB2" w:rsidP="00001B2A">
            <w:pPr>
              <w:ind w:firstLine="708"/>
              <w:contextualSpacing/>
              <w:jc w:val="both"/>
            </w:pPr>
            <w:r w:rsidRPr="00001B2A">
              <w:t xml:space="preserve">Лист «Структурная схема системы </w:t>
            </w:r>
            <w:proofErr w:type="spellStart"/>
            <w:r w:rsidRPr="00001B2A">
              <w:t>фотовидеофиксации</w:t>
            </w:r>
            <w:proofErr w:type="spellEnd"/>
            <w:r w:rsidRPr="00001B2A">
              <w:t>» (стр. 36) – в схеме применено избыточное количество отдельных элементов оборудования и недостаточное количество других элементов.</w:t>
            </w:r>
            <w:r w:rsidR="005D3D8B">
              <w:t xml:space="preserve"> </w:t>
            </w:r>
            <w:r w:rsidR="005D3D8B" w:rsidRPr="005D3D8B">
              <w:rPr>
                <w:color w:val="FF0000"/>
              </w:rPr>
              <w:t>Каких элементов если их количество соответствует спецификации ТБДД?</w:t>
            </w:r>
            <w:r w:rsidRPr="00001B2A">
              <w:t xml:space="preserve"> Выбранное оборудование (комплекс «Азимут» производства ООО «ТБДД») невозможно подключить по предоставленной схеме. Обосновать размещение вычислительных модулей в шкафу светофорного контролера (габариты шкафа из раздела проекта под шифром 12.13_2015-ТКР.АСУДД не позволят разместить оборудование в таком составе, также в выбранном шкафу отсутствует коммутационная панель для подключения выносного оборудования к вычислительным модулям). Кроме того, контур заземления, к которому подключен шкаф светофорного контроллера, не обеспечивает сопротивление заземления не более 4 Ом (требование производителя).</w:t>
            </w:r>
          </w:p>
          <w:p w:rsidR="005D3D8B" w:rsidRDefault="005D3D8B" w:rsidP="00001B2A">
            <w:pPr>
              <w:ind w:firstLine="708"/>
              <w:contextualSpacing/>
              <w:jc w:val="both"/>
            </w:pPr>
          </w:p>
          <w:p w:rsidR="00552CB2" w:rsidRPr="00001B2A" w:rsidRDefault="00552CB2" w:rsidP="00001B2A">
            <w:pPr>
              <w:ind w:firstLine="708"/>
              <w:contextualSpacing/>
              <w:jc w:val="both"/>
            </w:pPr>
            <w:r w:rsidRPr="00001B2A">
              <w:t xml:space="preserve"> Невозможно проверить правильность предоставленной схемы – дополнить схему марками соединительных кабелей.</w:t>
            </w:r>
          </w:p>
        </w:tc>
        <w:tc>
          <w:tcPr>
            <w:tcW w:w="1701" w:type="dxa"/>
            <w:tcMar>
              <w:left w:w="57" w:type="dxa"/>
              <w:right w:w="57" w:type="dxa"/>
            </w:tcMar>
            <w:vAlign w:val="center"/>
          </w:tcPr>
          <w:p w:rsidR="005D3D8B" w:rsidRPr="00721EF7" w:rsidRDefault="005D3D8B" w:rsidP="00721EF7">
            <w:pPr>
              <w:rPr>
                <w:sz w:val="22"/>
                <w:szCs w:val="22"/>
              </w:rPr>
            </w:pPr>
          </w:p>
        </w:tc>
        <w:tc>
          <w:tcPr>
            <w:tcW w:w="1701" w:type="dxa"/>
            <w:tcMar>
              <w:left w:w="57" w:type="dxa"/>
              <w:right w:w="57" w:type="dxa"/>
            </w:tcMar>
            <w:vAlign w:val="center"/>
          </w:tcPr>
          <w:p w:rsidR="005D3D8B" w:rsidRPr="00C42B81" w:rsidRDefault="005D3D8B" w:rsidP="00380B5C">
            <w:pPr>
              <w:jc w:val="center"/>
              <w:rPr>
                <w:color w:val="FF0000"/>
                <w:sz w:val="22"/>
                <w:szCs w:val="22"/>
              </w:rPr>
            </w:pPr>
          </w:p>
        </w:tc>
        <w:tc>
          <w:tcPr>
            <w:tcW w:w="1417" w:type="dxa"/>
          </w:tcPr>
          <w:p w:rsidR="00552CB2" w:rsidRPr="00C42B81" w:rsidRDefault="00552CB2" w:rsidP="00380B5C">
            <w:pPr>
              <w:jc w:val="center"/>
              <w:rPr>
                <w:color w:val="FF0000"/>
                <w:sz w:val="22"/>
                <w:szCs w:val="22"/>
              </w:rPr>
            </w:pPr>
          </w:p>
        </w:tc>
        <w:tc>
          <w:tcPr>
            <w:tcW w:w="1559" w:type="dxa"/>
          </w:tcPr>
          <w:p w:rsidR="005D3D8B" w:rsidRPr="00C42B81" w:rsidRDefault="005D3D8B" w:rsidP="00380B5C">
            <w:pPr>
              <w:jc w:val="center"/>
              <w:rPr>
                <w:color w:val="FF0000"/>
                <w:sz w:val="22"/>
                <w:szCs w:val="22"/>
              </w:rPr>
            </w:pPr>
          </w:p>
        </w:tc>
      </w:tr>
      <w:tr w:rsidR="00552CB2" w:rsidRPr="008B3AB8" w:rsidTr="0025051C">
        <w:trPr>
          <w:trHeight w:val="70"/>
        </w:trPr>
        <w:tc>
          <w:tcPr>
            <w:tcW w:w="516" w:type="dxa"/>
            <w:tcMar>
              <w:left w:w="57" w:type="dxa"/>
              <w:right w:w="57" w:type="dxa"/>
            </w:tcMar>
            <w:vAlign w:val="center"/>
          </w:tcPr>
          <w:p w:rsidR="00552CB2" w:rsidRPr="00AF7627" w:rsidRDefault="00552CB2" w:rsidP="00583096">
            <w:pPr>
              <w:pStyle w:val="a4"/>
              <w:numPr>
                <w:ilvl w:val="0"/>
                <w:numId w:val="9"/>
              </w:numPr>
              <w:shd w:val="clear" w:color="auto" w:fill="FFFFFF"/>
              <w:jc w:val="center"/>
              <w:rPr>
                <w:b/>
                <w:color w:val="000000"/>
                <w:sz w:val="22"/>
                <w:szCs w:val="22"/>
              </w:rPr>
            </w:pPr>
          </w:p>
        </w:tc>
        <w:tc>
          <w:tcPr>
            <w:tcW w:w="4305" w:type="dxa"/>
            <w:tcMar>
              <w:left w:w="57" w:type="dxa"/>
              <w:right w:w="57" w:type="dxa"/>
            </w:tcMar>
          </w:tcPr>
          <w:p w:rsidR="00552CB2" w:rsidRPr="00001B2A" w:rsidRDefault="00001B2A" w:rsidP="00001B2A">
            <w:pPr>
              <w:ind w:firstLine="708"/>
              <w:contextualSpacing/>
              <w:jc w:val="both"/>
            </w:pPr>
            <w:r w:rsidRPr="00001B2A">
              <w:t>Лист «Принципиальная схема электроснабжения оборудования АСУДД, ФВФ» (стр. 37) – обосновать указанную номинальную мощность, дополнить схему сведениями, указанными в «шапке» таблицы.</w:t>
            </w:r>
            <w:r w:rsidR="005D3D8B">
              <w:t xml:space="preserve">  </w:t>
            </w:r>
            <w:r w:rsidR="005D3D8B" w:rsidRPr="005D3D8B">
              <w:rPr>
                <w:color w:val="FF0000"/>
              </w:rPr>
              <w:t>Что за шапка и какой таблицы?</w:t>
            </w:r>
          </w:p>
        </w:tc>
        <w:tc>
          <w:tcPr>
            <w:tcW w:w="1701" w:type="dxa"/>
            <w:tcMar>
              <w:left w:w="57" w:type="dxa"/>
              <w:right w:w="57" w:type="dxa"/>
            </w:tcMar>
            <w:vAlign w:val="center"/>
          </w:tcPr>
          <w:p w:rsidR="00552CB2" w:rsidRPr="00721EF7" w:rsidRDefault="00552CB2" w:rsidP="00721EF7">
            <w:pPr>
              <w:rPr>
                <w:sz w:val="22"/>
                <w:szCs w:val="22"/>
              </w:rPr>
            </w:pPr>
          </w:p>
        </w:tc>
        <w:tc>
          <w:tcPr>
            <w:tcW w:w="1701" w:type="dxa"/>
            <w:tcMar>
              <w:left w:w="57" w:type="dxa"/>
              <w:right w:w="57" w:type="dxa"/>
            </w:tcMar>
            <w:vAlign w:val="center"/>
          </w:tcPr>
          <w:p w:rsidR="00552CB2" w:rsidRPr="00C42B81" w:rsidRDefault="00552CB2" w:rsidP="00380B5C">
            <w:pPr>
              <w:jc w:val="center"/>
              <w:rPr>
                <w:color w:val="FF0000"/>
                <w:sz w:val="22"/>
                <w:szCs w:val="22"/>
              </w:rPr>
            </w:pPr>
          </w:p>
        </w:tc>
        <w:tc>
          <w:tcPr>
            <w:tcW w:w="1417" w:type="dxa"/>
          </w:tcPr>
          <w:p w:rsidR="00552CB2" w:rsidRPr="00C42B81" w:rsidRDefault="00552CB2" w:rsidP="00380B5C">
            <w:pPr>
              <w:jc w:val="center"/>
              <w:rPr>
                <w:color w:val="FF0000"/>
                <w:sz w:val="22"/>
                <w:szCs w:val="22"/>
              </w:rPr>
            </w:pPr>
          </w:p>
        </w:tc>
        <w:tc>
          <w:tcPr>
            <w:tcW w:w="1559" w:type="dxa"/>
          </w:tcPr>
          <w:p w:rsidR="00552CB2" w:rsidRPr="00C42B81" w:rsidRDefault="00552CB2" w:rsidP="00380B5C">
            <w:pPr>
              <w:jc w:val="center"/>
              <w:rPr>
                <w:color w:val="FF0000"/>
                <w:sz w:val="22"/>
                <w:szCs w:val="22"/>
              </w:rPr>
            </w:pPr>
          </w:p>
        </w:tc>
      </w:tr>
      <w:tr w:rsidR="00552CB2" w:rsidRPr="008B3AB8" w:rsidTr="005D3D8B">
        <w:trPr>
          <w:trHeight w:val="70"/>
        </w:trPr>
        <w:tc>
          <w:tcPr>
            <w:tcW w:w="516" w:type="dxa"/>
            <w:tcMar>
              <w:left w:w="57" w:type="dxa"/>
              <w:right w:w="57" w:type="dxa"/>
            </w:tcMar>
            <w:vAlign w:val="center"/>
          </w:tcPr>
          <w:p w:rsidR="00552CB2" w:rsidRPr="00AF7627" w:rsidRDefault="00552CB2" w:rsidP="00583096">
            <w:pPr>
              <w:pStyle w:val="a4"/>
              <w:numPr>
                <w:ilvl w:val="0"/>
                <w:numId w:val="9"/>
              </w:numPr>
              <w:shd w:val="clear" w:color="auto" w:fill="FFFFFF"/>
              <w:jc w:val="center"/>
              <w:rPr>
                <w:b/>
                <w:color w:val="000000"/>
                <w:sz w:val="22"/>
                <w:szCs w:val="22"/>
              </w:rPr>
            </w:pPr>
          </w:p>
        </w:tc>
        <w:tc>
          <w:tcPr>
            <w:tcW w:w="4305" w:type="dxa"/>
            <w:tcMar>
              <w:left w:w="57" w:type="dxa"/>
              <w:right w:w="57" w:type="dxa"/>
            </w:tcMar>
          </w:tcPr>
          <w:p w:rsidR="005D3D8B" w:rsidRDefault="00001B2A" w:rsidP="00001B2A">
            <w:pPr>
              <w:ind w:firstLine="708"/>
              <w:contextualSpacing/>
              <w:jc w:val="both"/>
            </w:pPr>
            <w:r w:rsidRPr="00001B2A">
              <w:t xml:space="preserve">Лист «План размещения объектов </w:t>
            </w:r>
            <w:proofErr w:type="spellStart"/>
            <w:r w:rsidRPr="00001B2A">
              <w:t>фотовидеофиксации</w:t>
            </w:r>
            <w:proofErr w:type="spellEnd"/>
            <w:r w:rsidRPr="00001B2A">
              <w:t xml:space="preserve">» (стр. 38) – согласно п. 4 ТУ, выданных МКУ «Пермская дирекция дорожного движения», план необходимо предоставить в масштабе 1:500. </w:t>
            </w:r>
          </w:p>
          <w:p w:rsidR="00EF2309" w:rsidRDefault="00001B2A" w:rsidP="00001B2A">
            <w:pPr>
              <w:ind w:firstLine="708"/>
              <w:contextualSpacing/>
              <w:jc w:val="both"/>
            </w:pPr>
            <w:r w:rsidRPr="00001B2A">
              <w:t xml:space="preserve">Расстановка оборудования противоречит техническим требованиям на устройства </w:t>
            </w:r>
            <w:proofErr w:type="spellStart"/>
            <w:r w:rsidRPr="00001B2A">
              <w:t>фотовидеофиксации</w:t>
            </w:r>
            <w:proofErr w:type="spellEnd"/>
            <w:r w:rsidRPr="00001B2A">
              <w:t xml:space="preserve"> проезда на запрещающий сигнал светофора и нарушений правил проезда перекрестков МВД РФ, ГОСТ Р 57144-2016 и техническим условиям ООО </w:t>
            </w:r>
            <w:r w:rsidRPr="00001B2A">
              <w:lastRenderedPageBreak/>
              <w:t xml:space="preserve">«ТБДД» (производителя оборудования). Расстановка оборудования не обеспечивает выполнения требований п. 8.10.1 ТУ, выданных МКУ «Пермская дирекция дорожного движения». </w:t>
            </w:r>
          </w:p>
          <w:p w:rsidR="00552CB2" w:rsidRPr="00001B2A" w:rsidRDefault="00001B2A" w:rsidP="00001B2A">
            <w:pPr>
              <w:ind w:firstLine="708"/>
              <w:contextualSpacing/>
              <w:jc w:val="both"/>
            </w:pPr>
            <w:r w:rsidRPr="00001B2A">
              <w:t>Оформление не соответствует ГОСТ Р 21.1101-2013 (размеры, линии и т.д.). Дополнить план полным списком условных обозначений.</w:t>
            </w:r>
          </w:p>
        </w:tc>
        <w:tc>
          <w:tcPr>
            <w:tcW w:w="1701" w:type="dxa"/>
            <w:tcMar>
              <w:left w:w="57" w:type="dxa"/>
              <w:right w:w="57" w:type="dxa"/>
            </w:tcMar>
          </w:tcPr>
          <w:p w:rsidR="00EF2309" w:rsidRPr="00721EF7" w:rsidRDefault="00EF2309" w:rsidP="00721EF7">
            <w:pPr>
              <w:rPr>
                <w:sz w:val="22"/>
                <w:szCs w:val="22"/>
              </w:rPr>
            </w:pPr>
          </w:p>
        </w:tc>
        <w:tc>
          <w:tcPr>
            <w:tcW w:w="1701" w:type="dxa"/>
            <w:tcMar>
              <w:left w:w="57" w:type="dxa"/>
              <w:right w:w="57" w:type="dxa"/>
            </w:tcMar>
          </w:tcPr>
          <w:p w:rsidR="00EF2309" w:rsidRPr="00C42B81" w:rsidRDefault="00EF2309" w:rsidP="00380B5C">
            <w:pPr>
              <w:jc w:val="center"/>
              <w:rPr>
                <w:color w:val="FF0000"/>
                <w:sz w:val="22"/>
                <w:szCs w:val="22"/>
              </w:rPr>
            </w:pPr>
          </w:p>
        </w:tc>
        <w:tc>
          <w:tcPr>
            <w:tcW w:w="1417" w:type="dxa"/>
          </w:tcPr>
          <w:p w:rsidR="00552CB2" w:rsidRPr="00C42B81" w:rsidRDefault="00552CB2" w:rsidP="00380B5C">
            <w:pPr>
              <w:jc w:val="center"/>
              <w:rPr>
                <w:color w:val="FF0000"/>
                <w:sz w:val="22"/>
                <w:szCs w:val="22"/>
              </w:rPr>
            </w:pPr>
          </w:p>
        </w:tc>
        <w:tc>
          <w:tcPr>
            <w:tcW w:w="1559" w:type="dxa"/>
          </w:tcPr>
          <w:p w:rsidR="00EF2309" w:rsidRPr="00C42B81" w:rsidRDefault="00EF2309" w:rsidP="00380B5C">
            <w:pPr>
              <w:jc w:val="center"/>
              <w:rPr>
                <w:color w:val="FF0000"/>
                <w:sz w:val="22"/>
                <w:szCs w:val="22"/>
              </w:rPr>
            </w:pPr>
          </w:p>
        </w:tc>
      </w:tr>
      <w:tr w:rsidR="00552CB2" w:rsidRPr="008B3AB8" w:rsidTr="0025051C">
        <w:trPr>
          <w:trHeight w:val="70"/>
        </w:trPr>
        <w:tc>
          <w:tcPr>
            <w:tcW w:w="516" w:type="dxa"/>
            <w:tcMar>
              <w:left w:w="57" w:type="dxa"/>
              <w:right w:w="57" w:type="dxa"/>
            </w:tcMar>
            <w:vAlign w:val="center"/>
          </w:tcPr>
          <w:p w:rsidR="00552CB2" w:rsidRPr="00AF7627" w:rsidRDefault="00552CB2" w:rsidP="00583096">
            <w:pPr>
              <w:pStyle w:val="a4"/>
              <w:numPr>
                <w:ilvl w:val="0"/>
                <w:numId w:val="9"/>
              </w:numPr>
              <w:shd w:val="clear" w:color="auto" w:fill="FFFFFF"/>
              <w:jc w:val="center"/>
              <w:rPr>
                <w:b/>
                <w:color w:val="000000"/>
                <w:sz w:val="22"/>
                <w:szCs w:val="22"/>
              </w:rPr>
            </w:pPr>
          </w:p>
        </w:tc>
        <w:tc>
          <w:tcPr>
            <w:tcW w:w="4305" w:type="dxa"/>
            <w:tcMar>
              <w:left w:w="57" w:type="dxa"/>
              <w:right w:w="57" w:type="dxa"/>
            </w:tcMar>
          </w:tcPr>
          <w:p w:rsidR="00552CB2" w:rsidRPr="00001B2A" w:rsidRDefault="00001B2A" w:rsidP="00001B2A">
            <w:pPr>
              <w:ind w:firstLine="708"/>
              <w:contextualSpacing/>
              <w:jc w:val="both"/>
            </w:pPr>
            <w:r w:rsidRPr="00001B2A">
              <w:t>Лист «План размещения кабельных трасс» (стр. 39) – исправить в соответствии с новой расстановкой оборудования. Обосновать применение провода марки ПВС для прокладки в кабельной канализации. Оформление не соответствует ГОСТ Р 21.1101-2013 (размеры, линии и т.д.).</w:t>
            </w:r>
          </w:p>
        </w:tc>
        <w:tc>
          <w:tcPr>
            <w:tcW w:w="1701" w:type="dxa"/>
            <w:tcMar>
              <w:left w:w="57" w:type="dxa"/>
              <w:right w:w="57" w:type="dxa"/>
            </w:tcMar>
            <w:vAlign w:val="center"/>
          </w:tcPr>
          <w:p w:rsidR="00552CB2" w:rsidRPr="00721EF7" w:rsidRDefault="00552CB2" w:rsidP="00721EF7">
            <w:pPr>
              <w:rPr>
                <w:sz w:val="22"/>
                <w:szCs w:val="22"/>
              </w:rPr>
            </w:pPr>
          </w:p>
        </w:tc>
        <w:tc>
          <w:tcPr>
            <w:tcW w:w="1701" w:type="dxa"/>
            <w:tcMar>
              <w:left w:w="57" w:type="dxa"/>
              <w:right w:w="57" w:type="dxa"/>
            </w:tcMar>
            <w:vAlign w:val="center"/>
          </w:tcPr>
          <w:p w:rsidR="00552CB2" w:rsidRPr="00C42B81" w:rsidRDefault="00552CB2" w:rsidP="00380B5C">
            <w:pPr>
              <w:jc w:val="center"/>
              <w:rPr>
                <w:color w:val="FF0000"/>
                <w:sz w:val="22"/>
                <w:szCs w:val="22"/>
              </w:rPr>
            </w:pPr>
          </w:p>
        </w:tc>
        <w:tc>
          <w:tcPr>
            <w:tcW w:w="1417" w:type="dxa"/>
          </w:tcPr>
          <w:p w:rsidR="00552CB2" w:rsidRPr="00C42B81" w:rsidRDefault="00552CB2" w:rsidP="00380B5C">
            <w:pPr>
              <w:jc w:val="center"/>
              <w:rPr>
                <w:color w:val="FF0000"/>
                <w:sz w:val="22"/>
                <w:szCs w:val="22"/>
              </w:rPr>
            </w:pPr>
          </w:p>
        </w:tc>
        <w:tc>
          <w:tcPr>
            <w:tcW w:w="1559" w:type="dxa"/>
          </w:tcPr>
          <w:p w:rsidR="00EF2309" w:rsidRPr="00C42B81" w:rsidRDefault="00EF2309" w:rsidP="00380B5C">
            <w:pPr>
              <w:jc w:val="center"/>
              <w:rPr>
                <w:color w:val="FF0000"/>
                <w:sz w:val="22"/>
                <w:szCs w:val="22"/>
              </w:rPr>
            </w:pPr>
          </w:p>
        </w:tc>
      </w:tr>
      <w:tr w:rsidR="00552CB2" w:rsidRPr="008B3AB8" w:rsidTr="0025051C">
        <w:trPr>
          <w:trHeight w:val="70"/>
        </w:trPr>
        <w:tc>
          <w:tcPr>
            <w:tcW w:w="516" w:type="dxa"/>
            <w:tcMar>
              <w:left w:w="57" w:type="dxa"/>
              <w:right w:w="57" w:type="dxa"/>
            </w:tcMar>
            <w:vAlign w:val="center"/>
          </w:tcPr>
          <w:p w:rsidR="00552CB2" w:rsidRPr="00AF7627" w:rsidRDefault="00552CB2" w:rsidP="00583096">
            <w:pPr>
              <w:pStyle w:val="a4"/>
              <w:numPr>
                <w:ilvl w:val="0"/>
                <w:numId w:val="9"/>
              </w:numPr>
              <w:shd w:val="clear" w:color="auto" w:fill="FFFFFF"/>
              <w:jc w:val="center"/>
              <w:rPr>
                <w:b/>
                <w:color w:val="000000"/>
                <w:sz w:val="22"/>
                <w:szCs w:val="22"/>
              </w:rPr>
            </w:pPr>
          </w:p>
        </w:tc>
        <w:tc>
          <w:tcPr>
            <w:tcW w:w="4305" w:type="dxa"/>
            <w:tcMar>
              <w:left w:w="57" w:type="dxa"/>
              <w:right w:w="57" w:type="dxa"/>
            </w:tcMar>
          </w:tcPr>
          <w:p w:rsidR="00552CB2" w:rsidRPr="00001B2A" w:rsidRDefault="00001B2A" w:rsidP="00552CB2">
            <w:pPr>
              <w:ind w:firstLine="708"/>
              <w:contextualSpacing/>
              <w:jc w:val="both"/>
            </w:pPr>
            <w:r w:rsidRPr="00001B2A">
              <w:t xml:space="preserve">Лист «Габариты кабельной траншеи» (стр. 40) – из чертежа не понятно, сколько песка закладывается в траншею, нет чертежа траншеи под проезжей частью. Нет информации о том, каким образом будет восстановлено благоустройство – если эти объемы учтены в другом разделе проекта, указать способ восстановления </w:t>
            </w:r>
            <w:proofErr w:type="spellStart"/>
            <w:r w:rsidRPr="00001B2A">
              <w:t>справочно</w:t>
            </w:r>
            <w:proofErr w:type="spellEnd"/>
            <w:r w:rsidRPr="00001B2A">
              <w:t xml:space="preserve"> и дать ссылку на раздел. Кроме того, согласно чертежу 700 мм + 150 мм = 850 мм, а на чертеже указано 900 мм. Исправить орфографические ошибки в примечаниях. Уточнить глубину траншеи при пересечении с трамвайными путями (согласно СП 42.13330.2010).</w:t>
            </w:r>
          </w:p>
        </w:tc>
        <w:tc>
          <w:tcPr>
            <w:tcW w:w="1701" w:type="dxa"/>
            <w:tcMar>
              <w:left w:w="57" w:type="dxa"/>
              <w:right w:w="57" w:type="dxa"/>
            </w:tcMar>
            <w:vAlign w:val="center"/>
          </w:tcPr>
          <w:p w:rsidR="00552CB2" w:rsidRPr="00721EF7" w:rsidRDefault="00552CB2" w:rsidP="00721EF7">
            <w:pPr>
              <w:rPr>
                <w:sz w:val="22"/>
                <w:szCs w:val="22"/>
              </w:rPr>
            </w:pPr>
          </w:p>
        </w:tc>
        <w:tc>
          <w:tcPr>
            <w:tcW w:w="1701" w:type="dxa"/>
            <w:tcMar>
              <w:left w:w="57" w:type="dxa"/>
              <w:right w:w="57" w:type="dxa"/>
            </w:tcMar>
            <w:vAlign w:val="center"/>
          </w:tcPr>
          <w:p w:rsidR="00552CB2" w:rsidRPr="00C42B81" w:rsidRDefault="00552CB2" w:rsidP="00EF2309">
            <w:pPr>
              <w:jc w:val="center"/>
              <w:rPr>
                <w:color w:val="FF0000"/>
                <w:sz w:val="22"/>
                <w:szCs w:val="22"/>
              </w:rPr>
            </w:pPr>
          </w:p>
        </w:tc>
        <w:tc>
          <w:tcPr>
            <w:tcW w:w="1417" w:type="dxa"/>
          </w:tcPr>
          <w:p w:rsidR="00552CB2" w:rsidRPr="00C42B81" w:rsidRDefault="00552CB2" w:rsidP="00380B5C">
            <w:pPr>
              <w:jc w:val="center"/>
              <w:rPr>
                <w:color w:val="FF0000"/>
                <w:sz w:val="22"/>
                <w:szCs w:val="22"/>
              </w:rPr>
            </w:pPr>
          </w:p>
        </w:tc>
        <w:tc>
          <w:tcPr>
            <w:tcW w:w="1559" w:type="dxa"/>
          </w:tcPr>
          <w:p w:rsidR="00552CB2" w:rsidRPr="00C42B81" w:rsidRDefault="00552CB2" w:rsidP="00380B5C">
            <w:pPr>
              <w:jc w:val="center"/>
              <w:rPr>
                <w:color w:val="FF0000"/>
                <w:sz w:val="22"/>
                <w:szCs w:val="22"/>
              </w:rPr>
            </w:pPr>
          </w:p>
        </w:tc>
      </w:tr>
      <w:tr w:rsidR="00552CB2" w:rsidRPr="008B3AB8" w:rsidTr="0025051C">
        <w:trPr>
          <w:trHeight w:val="70"/>
        </w:trPr>
        <w:tc>
          <w:tcPr>
            <w:tcW w:w="516" w:type="dxa"/>
            <w:tcMar>
              <w:left w:w="57" w:type="dxa"/>
              <w:right w:w="57" w:type="dxa"/>
            </w:tcMar>
            <w:vAlign w:val="center"/>
          </w:tcPr>
          <w:p w:rsidR="00552CB2" w:rsidRPr="00AF7627" w:rsidRDefault="00552CB2" w:rsidP="00583096">
            <w:pPr>
              <w:pStyle w:val="a4"/>
              <w:numPr>
                <w:ilvl w:val="0"/>
                <w:numId w:val="9"/>
              </w:numPr>
              <w:shd w:val="clear" w:color="auto" w:fill="FFFFFF"/>
              <w:jc w:val="center"/>
              <w:rPr>
                <w:b/>
                <w:color w:val="000000"/>
                <w:sz w:val="22"/>
                <w:szCs w:val="22"/>
              </w:rPr>
            </w:pPr>
          </w:p>
        </w:tc>
        <w:tc>
          <w:tcPr>
            <w:tcW w:w="4305" w:type="dxa"/>
            <w:tcMar>
              <w:left w:w="57" w:type="dxa"/>
              <w:right w:w="57" w:type="dxa"/>
            </w:tcMar>
          </w:tcPr>
          <w:p w:rsidR="00552CB2" w:rsidRPr="00001B2A" w:rsidRDefault="00001B2A" w:rsidP="00001B2A">
            <w:pPr>
              <w:ind w:firstLine="708"/>
              <w:contextualSpacing/>
              <w:jc w:val="both"/>
            </w:pPr>
            <w:r w:rsidRPr="00001B2A">
              <w:t xml:space="preserve">Лист «Поперечные </w:t>
            </w:r>
            <w:proofErr w:type="gramStart"/>
            <w:r w:rsidRPr="00001B2A">
              <w:t>профили</w:t>
            </w:r>
            <w:proofErr w:type="gramEnd"/>
            <w:r w:rsidRPr="00001B2A">
              <w:t xml:space="preserve"> а/д в местах установки </w:t>
            </w:r>
            <w:proofErr w:type="spellStart"/>
            <w:r w:rsidRPr="00001B2A">
              <w:t>фоторадарных</w:t>
            </w:r>
            <w:proofErr w:type="spellEnd"/>
            <w:r w:rsidRPr="00001B2A">
              <w:t xml:space="preserve"> датчиков» (стр. 41) – выбранные датчики не являются </w:t>
            </w:r>
            <w:proofErr w:type="spellStart"/>
            <w:r w:rsidRPr="00001B2A">
              <w:t>фоторадарными</w:t>
            </w:r>
            <w:proofErr w:type="spellEnd"/>
            <w:r w:rsidRPr="00001B2A">
              <w:t>. Предоставленная схема не подходит для оборудования производителя и не обеспечивает выполнение требований п. 8.10.1 ТУ, выданных МКУ «Пермская дирекция дорожного движения». Предоставить исправленные схемы.</w:t>
            </w:r>
          </w:p>
        </w:tc>
        <w:tc>
          <w:tcPr>
            <w:tcW w:w="1701" w:type="dxa"/>
            <w:tcMar>
              <w:left w:w="57" w:type="dxa"/>
              <w:right w:w="57" w:type="dxa"/>
            </w:tcMar>
            <w:vAlign w:val="center"/>
          </w:tcPr>
          <w:p w:rsidR="00882FDB" w:rsidRPr="00EF2309" w:rsidRDefault="00882FDB" w:rsidP="00882FDB">
            <w:pPr>
              <w:rPr>
                <w:color w:val="FF0000"/>
                <w:sz w:val="22"/>
                <w:szCs w:val="22"/>
              </w:rPr>
            </w:pPr>
          </w:p>
        </w:tc>
        <w:tc>
          <w:tcPr>
            <w:tcW w:w="1701" w:type="dxa"/>
            <w:tcMar>
              <w:left w:w="57" w:type="dxa"/>
              <w:right w:w="57" w:type="dxa"/>
            </w:tcMar>
            <w:vAlign w:val="center"/>
          </w:tcPr>
          <w:p w:rsidR="00552CB2" w:rsidRPr="00C42B81" w:rsidRDefault="00552CB2" w:rsidP="00380B5C">
            <w:pPr>
              <w:jc w:val="center"/>
              <w:rPr>
                <w:color w:val="FF0000"/>
                <w:sz w:val="22"/>
                <w:szCs w:val="22"/>
              </w:rPr>
            </w:pPr>
          </w:p>
        </w:tc>
        <w:tc>
          <w:tcPr>
            <w:tcW w:w="1417" w:type="dxa"/>
          </w:tcPr>
          <w:p w:rsidR="00552CB2" w:rsidRPr="00C42B81" w:rsidRDefault="00552CB2" w:rsidP="00380B5C">
            <w:pPr>
              <w:jc w:val="center"/>
              <w:rPr>
                <w:color w:val="FF0000"/>
                <w:sz w:val="22"/>
                <w:szCs w:val="22"/>
              </w:rPr>
            </w:pPr>
          </w:p>
        </w:tc>
        <w:tc>
          <w:tcPr>
            <w:tcW w:w="1559" w:type="dxa"/>
          </w:tcPr>
          <w:p w:rsidR="00552CB2" w:rsidRPr="00C42B81" w:rsidRDefault="00552CB2" w:rsidP="00380B5C">
            <w:pPr>
              <w:jc w:val="center"/>
              <w:rPr>
                <w:color w:val="FF0000"/>
                <w:sz w:val="22"/>
                <w:szCs w:val="22"/>
              </w:rPr>
            </w:pPr>
          </w:p>
        </w:tc>
      </w:tr>
      <w:tr w:rsidR="00552CB2" w:rsidRPr="008B3AB8" w:rsidTr="0025051C">
        <w:trPr>
          <w:trHeight w:val="70"/>
        </w:trPr>
        <w:tc>
          <w:tcPr>
            <w:tcW w:w="516" w:type="dxa"/>
            <w:tcMar>
              <w:left w:w="57" w:type="dxa"/>
              <w:right w:w="57" w:type="dxa"/>
            </w:tcMar>
            <w:vAlign w:val="center"/>
          </w:tcPr>
          <w:p w:rsidR="00552CB2" w:rsidRPr="00AF7627" w:rsidRDefault="00552CB2" w:rsidP="00583096">
            <w:pPr>
              <w:pStyle w:val="a4"/>
              <w:numPr>
                <w:ilvl w:val="0"/>
                <w:numId w:val="9"/>
              </w:numPr>
              <w:shd w:val="clear" w:color="auto" w:fill="FFFFFF"/>
              <w:jc w:val="center"/>
              <w:rPr>
                <w:b/>
                <w:color w:val="000000"/>
                <w:sz w:val="22"/>
                <w:szCs w:val="22"/>
              </w:rPr>
            </w:pPr>
          </w:p>
        </w:tc>
        <w:tc>
          <w:tcPr>
            <w:tcW w:w="4305" w:type="dxa"/>
            <w:tcMar>
              <w:left w:w="57" w:type="dxa"/>
              <w:right w:w="57" w:type="dxa"/>
            </w:tcMar>
          </w:tcPr>
          <w:p w:rsidR="00552CB2" w:rsidRPr="00001B2A" w:rsidRDefault="00001B2A" w:rsidP="00001B2A">
            <w:pPr>
              <w:ind w:firstLine="708"/>
              <w:contextualSpacing/>
              <w:jc w:val="both"/>
            </w:pPr>
            <w:r w:rsidRPr="00001B2A">
              <w:t>Лист «Крепление камеры ФВФ на опору освещения» (стр. 57) – предоставленная схема не подходит для выбранного оборудования (устройство позиционирования невозможно закрепить на таком кронштейне).</w:t>
            </w:r>
          </w:p>
        </w:tc>
        <w:tc>
          <w:tcPr>
            <w:tcW w:w="1701" w:type="dxa"/>
            <w:tcMar>
              <w:left w:w="57" w:type="dxa"/>
              <w:right w:w="57" w:type="dxa"/>
            </w:tcMar>
            <w:vAlign w:val="center"/>
          </w:tcPr>
          <w:p w:rsidR="00552CB2" w:rsidRPr="00721EF7" w:rsidRDefault="00552CB2" w:rsidP="00721EF7">
            <w:pPr>
              <w:rPr>
                <w:sz w:val="22"/>
                <w:szCs w:val="22"/>
              </w:rPr>
            </w:pPr>
          </w:p>
        </w:tc>
        <w:tc>
          <w:tcPr>
            <w:tcW w:w="1701" w:type="dxa"/>
            <w:tcMar>
              <w:left w:w="57" w:type="dxa"/>
              <w:right w:w="57" w:type="dxa"/>
            </w:tcMar>
            <w:vAlign w:val="center"/>
          </w:tcPr>
          <w:p w:rsidR="00552CB2" w:rsidRPr="00C42B81" w:rsidRDefault="00552CB2" w:rsidP="00380B5C">
            <w:pPr>
              <w:jc w:val="center"/>
              <w:rPr>
                <w:color w:val="FF0000"/>
                <w:sz w:val="22"/>
                <w:szCs w:val="22"/>
              </w:rPr>
            </w:pPr>
          </w:p>
        </w:tc>
        <w:tc>
          <w:tcPr>
            <w:tcW w:w="1417" w:type="dxa"/>
          </w:tcPr>
          <w:p w:rsidR="00552CB2" w:rsidRPr="00C42B81" w:rsidRDefault="00552CB2" w:rsidP="00380B5C">
            <w:pPr>
              <w:jc w:val="center"/>
              <w:rPr>
                <w:color w:val="FF0000"/>
                <w:sz w:val="22"/>
                <w:szCs w:val="22"/>
              </w:rPr>
            </w:pPr>
          </w:p>
        </w:tc>
        <w:tc>
          <w:tcPr>
            <w:tcW w:w="1559" w:type="dxa"/>
          </w:tcPr>
          <w:p w:rsidR="00552CB2" w:rsidRPr="00C42B81" w:rsidRDefault="00552CB2" w:rsidP="00380B5C">
            <w:pPr>
              <w:jc w:val="center"/>
              <w:rPr>
                <w:color w:val="FF0000"/>
                <w:sz w:val="22"/>
                <w:szCs w:val="22"/>
              </w:rPr>
            </w:pPr>
          </w:p>
        </w:tc>
      </w:tr>
      <w:tr w:rsidR="00001B2A" w:rsidRPr="008B3AB8" w:rsidTr="00EF2309">
        <w:trPr>
          <w:trHeight w:val="70"/>
        </w:trPr>
        <w:tc>
          <w:tcPr>
            <w:tcW w:w="516" w:type="dxa"/>
            <w:tcMar>
              <w:left w:w="57" w:type="dxa"/>
              <w:right w:w="57" w:type="dxa"/>
            </w:tcMar>
            <w:vAlign w:val="center"/>
          </w:tcPr>
          <w:p w:rsidR="00001B2A" w:rsidRPr="00AF7627" w:rsidRDefault="00001B2A" w:rsidP="00583096">
            <w:pPr>
              <w:pStyle w:val="a4"/>
              <w:numPr>
                <w:ilvl w:val="0"/>
                <w:numId w:val="9"/>
              </w:numPr>
              <w:shd w:val="clear" w:color="auto" w:fill="FFFFFF"/>
              <w:jc w:val="center"/>
              <w:rPr>
                <w:b/>
                <w:color w:val="000000"/>
                <w:sz w:val="22"/>
                <w:szCs w:val="22"/>
              </w:rPr>
            </w:pPr>
          </w:p>
        </w:tc>
        <w:tc>
          <w:tcPr>
            <w:tcW w:w="4305" w:type="dxa"/>
            <w:tcMar>
              <w:left w:w="57" w:type="dxa"/>
              <w:right w:w="57" w:type="dxa"/>
            </w:tcMar>
          </w:tcPr>
          <w:p w:rsidR="00EF2309" w:rsidRDefault="00001B2A" w:rsidP="00001B2A">
            <w:pPr>
              <w:ind w:firstLine="708"/>
              <w:contextualSpacing/>
              <w:jc w:val="both"/>
            </w:pPr>
            <w:r w:rsidRPr="00001B2A">
              <w:t xml:space="preserve">«Спецификация оборудования, изделий и материалов» (стр. 60-61) – не учтен кабель для подключения модуля синхронизации со светофорным объектом; </w:t>
            </w:r>
          </w:p>
          <w:p w:rsidR="00001B2A" w:rsidRPr="00001B2A" w:rsidRDefault="00001B2A" w:rsidP="00001B2A">
            <w:pPr>
              <w:ind w:firstLine="708"/>
              <w:contextualSpacing/>
              <w:jc w:val="both"/>
            </w:pPr>
            <w:r w:rsidRPr="00001B2A">
              <w:t>отсутствуют металлоконструкции для крепления оборудования к опорам, сами опоры и фундаменты. Состав оборудования не обеспечивает требования п. 8.10.1 ТУ, выданных МКУ «Пермская дирекция дорожного движения».</w:t>
            </w:r>
          </w:p>
        </w:tc>
        <w:tc>
          <w:tcPr>
            <w:tcW w:w="1701" w:type="dxa"/>
            <w:tcMar>
              <w:left w:w="57" w:type="dxa"/>
              <w:right w:w="57" w:type="dxa"/>
            </w:tcMar>
          </w:tcPr>
          <w:p w:rsidR="00001B2A" w:rsidRPr="00721EF7" w:rsidRDefault="00001B2A" w:rsidP="00721EF7">
            <w:pPr>
              <w:rPr>
                <w:sz w:val="22"/>
                <w:szCs w:val="22"/>
              </w:rPr>
            </w:pPr>
          </w:p>
        </w:tc>
        <w:tc>
          <w:tcPr>
            <w:tcW w:w="1701" w:type="dxa"/>
            <w:tcMar>
              <w:left w:w="57" w:type="dxa"/>
              <w:right w:w="57" w:type="dxa"/>
            </w:tcMar>
          </w:tcPr>
          <w:p w:rsidR="00001B2A" w:rsidRPr="00C42B81" w:rsidRDefault="00001B2A" w:rsidP="00380B5C">
            <w:pPr>
              <w:jc w:val="center"/>
              <w:rPr>
                <w:color w:val="FF0000"/>
                <w:sz w:val="22"/>
                <w:szCs w:val="22"/>
              </w:rPr>
            </w:pPr>
          </w:p>
        </w:tc>
        <w:tc>
          <w:tcPr>
            <w:tcW w:w="1417" w:type="dxa"/>
          </w:tcPr>
          <w:p w:rsidR="00001B2A" w:rsidRPr="00C42B81" w:rsidRDefault="00001B2A" w:rsidP="00380B5C">
            <w:pPr>
              <w:jc w:val="center"/>
              <w:rPr>
                <w:color w:val="FF0000"/>
                <w:sz w:val="22"/>
                <w:szCs w:val="22"/>
              </w:rPr>
            </w:pPr>
          </w:p>
        </w:tc>
        <w:tc>
          <w:tcPr>
            <w:tcW w:w="1559" w:type="dxa"/>
          </w:tcPr>
          <w:p w:rsidR="00EF2309" w:rsidRPr="00C42B81" w:rsidRDefault="00EF2309" w:rsidP="00380B5C">
            <w:pPr>
              <w:jc w:val="center"/>
              <w:rPr>
                <w:color w:val="FF0000"/>
                <w:sz w:val="22"/>
                <w:szCs w:val="22"/>
              </w:rPr>
            </w:pPr>
          </w:p>
        </w:tc>
      </w:tr>
    </w:tbl>
    <w:p w:rsidR="00536AEB" w:rsidRPr="008B3AB8" w:rsidRDefault="00536AEB" w:rsidP="000322CF">
      <w:pPr>
        <w:shd w:val="clear" w:color="auto" w:fill="FFFFFF"/>
        <w:rPr>
          <w:sz w:val="22"/>
          <w:szCs w:val="22"/>
        </w:rPr>
      </w:pPr>
    </w:p>
    <w:p w:rsidR="00D07725" w:rsidRDefault="00D07725" w:rsidP="003B463D">
      <w:pPr>
        <w:shd w:val="clear" w:color="auto" w:fill="FFFFFF"/>
        <w:rPr>
          <w:color w:val="000000"/>
          <w:spacing w:val="-22"/>
          <w:sz w:val="22"/>
          <w:szCs w:val="22"/>
        </w:rPr>
      </w:pPr>
    </w:p>
    <w:p w:rsidR="005F16E7" w:rsidRDefault="005F16E7" w:rsidP="003B463D">
      <w:pPr>
        <w:shd w:val="clear" w:color="auto" w:fill="FFFFFF"/>
        <w:rPr>
          <w:color w:val="000000"/>
          <w:spacing w:val="-22"/>
          <w:sz w:val="22"/>
          <w:szCs w:val="22"/>
        </w:rPr>
      </w:pPr>
    </w:p>
    <w:p w:rsidR="005F16E7" w:rsidRDefault="005F16E7" w:rsidP="003B463D">
      <w:pPr>
        <w:shd w:val="clear" w:color="auto" w:fill="FFFFFF"/>
        <w:rPr>
          <w:color w:val="000000"/>
          <w:spacing w:val="-22"/>
          <w:sz w:val="22"/>
          <w:szCs w:val="22"/>
        </w:rPr>
      </w:pPr>
    </w:p>
    <w:sectPr w:rsidR="005F16E7" w:rsidSect="00C20764">
      <w:pgSz w:w="11909" w:h="16834"/>
      <w:pgMar w:top="567" w:right="567" w:bottom="284" w:left="141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D3210"/>
    <w:multiLevelType w:val="hybridMultilevel"/>
    <w:tmpl w:val="7A9A0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2E44EE"/>
    <w:multiLevelType w:val="hybridMultilevel"/>
    <w:tmpl w:val="1B2CBDC8"/>
    <w:lvl w:ilvl="0" w:tplc="334447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EA3BE8"/>
    <w:multiLevelType w:val="hybridMultilevel"/>
    <w:tmpl w:val="E5EAEC52"/>
    <w:lvl w:ilvl="0" w:tplc="B8DC814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
    <w:nsid w:val="30491658"/>
    <w:multiLevelType w:val="hybridMultilevel"/>
    <w:tmpl w:val="3948E992"/>
    <w:lvl w:ilvl="0" w:tplc="D6949CF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FD6BF5"/>
    <w:multiLevelType w:val="hybridMultilevel"/>
    <w:tmpl w:val="E48C4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8D2FFF"/>
    <w:multiLevelType w:val="hybridMultilevel"/>
    <w:tmpl w:val="9DEE1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DE4F32"/>
    <w:multiLevelType w:val="hybridMultilevel"/>
    <w:tmpl w:val="8272EC06"/>
    <w:lvl w:ilvl="0" w:tplc="466E7B1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79E759AC"/>
    <w:multiLevelType w:val="hybridMultilevel"/>
    <w:tmpl w:val="AAD890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E194F43"/>
    <w:multiLevelType w:val="hybridMultilevel"/>
    <w:tmpl w:val="1D36F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8"/>
  </w:num>
  <w:num w:numId="6">
    <w:abstractNumId w:val="4"/>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AEB"/>
    <w:rsid w:val="00001B2A"/>
    <w:rsid w:val="00003B67"/>
    <w:rsid w:val="000056CC"/>
    <w:rsid w:val="0002434B"/>
    <w:rsid w:val="00025CF4"/>
    <w:rsid w:val="00027E3B"/>
    <w:rsid w:val="000322CF"/>
    <w:rsid w:val="00032F2E"/>
    <w:rsid w:val="00051136"/>
    <w:rsid w:val="00055FF4"/>
    <w:rsid w:val="000812EF"/>
    <w:rsid w:val="000921ED"/>
    <w:rsid w:val="00097001"/>
    <w:rsid w:val="000A67B6"/>
    <w:rsid w:val="000B1C9F"/>
    <w:rsid w:val="000B2521"/>
    <w:rsid w:val="000B7887"/>
    <w:rsid w:val="000C5261"/>
    <w:rsid w:val="000D2E23"/>
    <w:rsid w:val="000D779E"/>
    <w:rsid w:val="000E476A"/>
    <w:rsid w:val="0010156B"/>
    <w:rsid w:val="00104A31"/>
    <w:rsid w:val="00104C1E"/>
    <w:rsid w:val="001112C9"/>
    <w:rsid w:val="00114948"/>
    <w:rsid w:val="001167BF"/>
    <w:rsid w:val="00117302"/>
    <w:rsid w:val="00121D01"/>
    <w:rsid w:val="00124E7E"/>
    <w:rsid w:val="001277E9"/>
    <w:rsid w:val="001333F4"/>
    <w:rsid w:val="001362D4"/>
    <w:rsid w:val="00140DBC"/>
    <w:rsid w:val="00143B35"/>
    <w:rsid w:val="0014742F"/>
    <w:rsid w:val="001518BE"/>
    <w:rsid w:val="00151F25"/>
    <w:rsid w:val="00160FF6"/>
    <w:rsid w:val="0016372E"/>
    <w:rsid w:val="00164C0E"/>
    <w:rsid w:val="00173C45"/>
    <w:rsid w:val="00182A42"/>
    <w:rsid w:val="00192A76"/>
    <w:rsid w:val="001A521B"/>
    <w:rsid w:val="001A5646"/>
    <w:rsid w:val="001A6649"/>
    <w:rsid w:val="001B0A1E"/>
    <w:rsid w:val="001D2E0E"/>
    <w:rsid w:val="001E04F1"/>
    <w:rsid w:val="001E6A5C"/>
    <w:rsid w:val="001F3006"/>
    <w:rsid w:val="001F347B"/>
    <w:rsid w:val="001F59C0"/>
    <w:rsid w:val="0020142F"/>
    <w:rsid w:val="00207504"/>
    <w:rsid w:val="00214384"/>
    <w:rsid w:val="00215C6B"/>
    <w:rsid w:val="00233967"/>
    <w:rsid w:val="00241CD4"/>
    <w:rsid w:val="00245D59"/>
    <w:rsid w:val="0025051C"/>
    <w:rsid w:val="002546CF"/>
    <w:rsid w:val="00260113"/>
    <w:rsid w:val="0026210B"/>
    <w:rsid w:val="00283719"/>
    <w:rsid w:val="002922EA"/>
    <w:rsid w:val="00295636"/>
    <w:rsid w:val="002A4D14"/>
    <w:rsid w:val="002B57FA"/>
    <w:rsid w:val="002B6598"/>
    <w:rsid w:val="002C1A34"/>
    <w:rsid w:val="002C44B7"/>
    <w:rsid w:val="002C6507"/>
    <w:rsid w:val="002D2B51"/>
    <w:rsid w:val="002D4699"/>
    <w:rsid w:val="002D63BF"/>
    <w:rsid w:val="002E69B9"/>
    <w:rsid w:val="002F1AF0"/>
    <w:rsid w:val="002F1DFD"/>
    <w:rsid w:val="00300C87"/>
    <w:rsid w:val="00303BC9"/>
    <w:rsid w:val="00305853"/>
    <w:rsid w:val="00306D2E"/>
    <w:rsid w:val="00314DB6"/>
    <w:rsid w:val="00315612"/>
    <w:rsid w:val="00321B09"/>
    <w:rsid w:val="00326174"/>
    <w:rsid w:val="00327D27"/>
    <w:rsid w:val="003300CA"/>
    <w:rsid w:val="00340A97"/>
    <w:rsid w:val="003415AF"/>
    <w:rsid w:val="0034515C"/>
    <w:rsid w:val="0034670A"/>
    <w:rsid w:val="00351E49"/>
    <w:rsid w:val="00353F9D"/>
    <w:rsid w:val="00374D29"/>
    <w:rsid w:val="00375BAE"/>
    <w:rsid w:val="00380B5C"/>
    <w:rsid w:val="0038413C"/>
    <w:rsid w:val="00387E6D"/>
    <w:rsid w:val="00392E36"/>
    <w:rsid w:val="003A4C8C"/>
    <w:rsid w:val="003A623A"/>
    <w:rsid w:val="003B0FEC"/>
    <w:rsid w:val="003B2098"/>
    <w:rsid w:val="003B463D"/>
    <w:rsid w:val="003C5133"/>
    <w:rsid w:val="003C6549"/>
    <w:rsid w:val="003D4823"/>
    <w:rsid w:val="003F1F8D"/>
    <w:rsid w:val="003F2AA7"/>
    <w:rsid w:val="003F3764"/>
    <w:rsid w:val="003F5A1D"/>
    <w:rsid w:val="0040072D"/>
    <w:rsid w:val="00401025"/>
    <w:rsid w:val="004022DF"/>
    <w:rsid w:val="00417BEC"/>
    <w:rsid w:val="004222F0"/>
    <w:rsid w:val="0042763A"/>
    <w:rsid w:val="00427C49"/>
    <w:rsid w:val="0044206B"/>
    <w:rsid w:val="0044542A"/>
    <w:rsid w:val="004546ED"/>
    <w:rsid w:val="0046258D"/>
    <w:rsid w:val="004735FF"/>
    <w:rsid w:val="00477011"/>
    <w:rsid w:val="0048170A"/>
    <w:rsid w:val="004823BF"/>
    <w:rsid w:val="004840A8"/>
    <w:rsid w:val="0048788D"/>
    <w:rsid w:val="00496058"/>
    <w:rsid w:val="00496EC7"/>
    <w:rsid w:val="004A24A4"/>
    <w:rsid w:val="004A765E"/>
    <w:rsid w:val="004B0BB1"/>
    <w:rsid w:val="004B3296"/>
    <w:rsid w:val="004B6E75"/>
    <w:rsid w:val="004C1FEC"/>
    <w:rsid w:val="004D3879"/>
    <w:rsid w:val="004D3EB9"/>
    <w:rsid w:val="004D43A4"/>
    <w:rsid w:val="004E77DD"/>
    <w:rsid w:val="004F4055"/>
    <w:rsid w:val="0050394A"/>
    <w:rsid w:val="00506608"/>
    <w:rsid w:val="00506D19"/>
    <w:rsid w:val="0051553E"/>
    <w:rsid w:val="00517B13"/>
    <w:rsid w:val="005242F1"/>
    <w:rsid w:val="0052495E"/>
    <w:rsid w:val="00530005"/>
    <w:rsid w:val="0053006B"/>
    <w:rsid w:val="00533BEA"/>
    <w:rsid w:val="0053674A"/>
    <w:rsid w:val="00536AEB"/>
    <w:rsid w:val="0054195A"/>
    <w:rsid w:val="00542232"/>
    <w:rsid w:val="00550E1E"/>
    <w:rsid w:val="00552CB2"/>
    <w:rsid w:val="0055416C"/>
    <w:rsid w:val="005548E0"/>
    <w:rsid w:val="005614D9"/>
    <w:rsid w:val="005650AA"/>
    <w:rsid w:val="00577982"/>
    <w:rsid w:val="00583096"/>
    <w:rsid w:val="005856B3"/>
    <w:rsid w:val="005976A8"/>
    <w:rsid w:val="005A22DC"/>
    <w:rsid w:val="005A32A6"/>
    <w:rsid w:val="005B36BC"/>
    <w:rsid w:val="005B40DB"/>
    <w:rsid w:val="005C0B32"/>
    <w:rsid w:val="005C6475"/>
    <w:rsid w:val="005D0C1F"/>
    <w:rsid w:val="005D3D8B"/>
    <w:rsid w:val="005E558A"/>
    <w:rsid w:val="005E5C5B"/>
    <w:rsid w:val="005F16E7"/>
    <w:rsid w:val="006041B9"/>
    <w:rsid w:val="006057E5"/>
    <w:rsid w:val="00611FC6"/>
    <w:rsid w:val="006207F8"/>
    <w:rsid w:val="006241D2"/>
    <w:rsid w:val="0062551A"/>
    <w:rsid w:val="006275CA"/>
    <w:rsid w:val="006420CB"/>
    <w:rsid w:val="0065160D"/>
    <w:rsid w:val="0065235D"/>
    <w:rsid w:val="00653ACB"/>
    <w:rsid w:val="00655C3C"/>
    <w:rsid w:val="00660286"/>
    <w:rsid w:val="00660AAA"/>
    <w:rsid w:val="00660AD4"/>
    <w:rsid w:val="00667BEB"/>
    <w:rsid w:val="006725CE"/>
    <w:rsid w:val="00681ED7"/>
    <w:rsid w:val="006844F8"/>
    <w:rsid w:val="0069047F"/>
    <w:rsid w:val="00690671"/>
    <w:rsid w:val="00692631"/>
    <w:rsid w:val="00692A8F"/>
    <w:rsid w:val="006935CD"/>
    <w:rsid w:val="006948B9"/>
    <w:rsid w:val="006B36C7"/>
    <w:rsid w:val="006C45C5"/>
    <w:rsid w:val="006C7BD5"/>
    <w:rsid w:val="006E7A45"/>
    <w:rsid w:val="0070161D"/>
    <w:rsid w:val="007068E1"/>
    <w:rsid w:val="0071003C"/>
    <w:rsid w:val="007202D6"/>
    <w:rsid w:val="007205DD"/>
    <w:rsid w:val="00721EF7"/>
    <w:rsid w:val="00732BB2"/>
    <w:rsid w:val="0073397E"/>
    <w:rsid w:val="0073681D"/>
    <w:rsid w:val="00742635"/>
    <w:rsid w:val="0075061D"/>
    <w:rsid w:val="00753169"/>
    <w:rsid w:val="0075676A"/>
    <w:rsid w:val="00757019"/>
    <w:rsid w:val="00757FD5"/>
    <w:rsid w:val="0076015D"/>
    <w:rsid w:val="00762C29"/>
    <w:rsid w:val="0077403E"/>
    <w:rsid w:val="00776148"/>
    <w:rsid w:val="00780EDA"/>
    <w:rsid w:val="00784A9E"/>
    <w:rsid w:val="00787ABC"/>
    <w:rsid w:val="007A1779"/>
    <w:rsid w:val="007A2965"/>
    <w:rsid w:val="007B272B"/>
    <w:rsid w:val="007B3890"/>
    <w:rsid w:val="007C0148"/>
    <w:rsid w:val="007C351F"/>
    <w:rsid w:val="007D4E05"/>
    <w:rsid w:val="007D62F3"/>
    <w:rsid w:val="007D67A4"/>
    <w:rsid w:val="007F1D7D"/>
    <w:rsid w:val="00810987"/>
    <w:rsid w:val="00813967"/>
    <w:rsid w:val="0082006A"/>
    <w:rsid w:val="0082294B"/>
    <w:rsid w:val="00822CC9"/>
    <w:rsid w:val="00837E36"/>
    <w:rsid w:val="008513E5"/>
    <w:rsid w:val="008573DD"/>
    <w:rsid w:val="00860F00"/>
    <w:rsid w:val="00870AC2"/>
    <w:rsid w:val="00877E20"/>
    <w:rsid w:val="008821B7"/>
    <w:rsid w:val="00882FDB"/>
    <w:rsid w:val="008843C2"/>
    <w:rsid w:val="008931B0"/>
    <w:rsid w:val="008A4590"/>
    <w:rsid w:val="008B21E8"/>
    <w:rsid w:val="008B3720"/>
    <w:rsid w:val="008B3AB8"/>
    <w:rsid w:val="008B6FBD"/>
    <w:rsid w:val="008C09AB"/>
    <w:rsid w:val="008C4ACC"/>
    <w:rsid w:val="008D036E"/>
    <w:rsid w:val="008D4B0B"/>
    <w:rsid w:val="008E0263"/>
    <w:rsid w:val="008E04E1"/>
    <w:rsid w:val="00906BD8"/>
    <w:rsid w:val="0091424A"/>
    <w:rsid w:val="0091471F"/>
    <w:rsid w:val="009163AF"/>
    <w:rsid w:val="00924FEA"/>
    <w:rsid w:val="00933ACA"/>
    <w:rsid w:val="009422E5"/>
    <w:rsid w:val="009469FE"/>
    <w:rsid w:val="009518D8"/>
    <w:rsid w:val="00953812"/>
    <w:rsid w:val="00953D74"/>
    <w:rsid w:val="00956463"/>
    <w:rsid w:val="00962FC9"/>
    <w:rsid w:val="0096604B"/>
    <w:rsid w:val="0097467D"/>
    <w:rsid w:val="0097478A"/>
    <w:rsid w:val="00980F96"/>
    <w:rsid w:val="009915C1"/>
    <w:rsid w:val="00991D03"/>
    <w:rsid w:val="009960B6"/>
    <w:rsid w:val="00997375"/>
    <w:rsid w:val="009A0A7D"/>
    <w:rsid w:val="009B2063"/>
    <w:rsid w:val="009C770D"/>
    <w:rsid w:val="009D0519"/>
    <w:rsid w:val="009D06B5"/>
    <w:rsid w:val="009D0CF1"/>
    <w:rsid w:val="009E129E"/>
    <w:rsid w:val="009E616F"/>
    <w:rsid w:val="009E7034"/>
    <w:rsid w:val="009E720A"/>
    <w:rsid w:val="009F0D23"/>
    <w:rsid w:val="009F7765"/>
    <w:rsid w:val="00A00BFA"/>
    <w:rsid w:val="00A03EC8"/>
    <w:rsid w:val="00A106AB"/>
    <w:rsid w:val="00A267AA"/>
    <w:rsid w:val="00A27C98"/>
    <w:rsid w:val="00A3703C"/>
    <w:rsid w:val="00A3795C"/>
    <w:rsid w:val="00A4475F"/>
    <w:rsid w:val="00A52402"/>
    <w:rsid w:val="00A5336E"/>
    <w:rsid w:val="00A60628"/>
    <w:rsid w:val="00A668B2"/>
    <w:rsid w:val="00A700F4"/>
    <w:rsid w:val="00A76437"/>
    <w:rsid w:val="00A769CE"/>
    <w:rsid w:val="00A770AE"/>
    <w:rsid w:val="00A858F2"/>
    <w:rsid w:val="00A92DFE"/>
    <w:rsid w:val="00A973D8"/>
    <w:rsid w:val="00AB0A01"/>
    <w:rsid w:val="00AB375E"/>
    <w:rsid w:val="00AC141B"/>
    <w:rsid w:val="00AC2668"/>
    <w:rsid w:val="00AC3D62"/>
    <w:rsid w:val="00AC405D"/>
    <w:rsid w:val="00AC58F3"/>
    <w:rsid w:val="00AC7ABE"/>
    <w:rsid w:val="00AD174A"/>
    <w:rsid w:val="00AD26FF"/>
    <w:rsid w:val="00AD30DF"/>
    <w:rsid w:val="00AF73D5"/>
    <w:rsid w:val="00B10B53"/>
    <w:rsid w:val="00B16086"/>
    <w:rsid w:val="00B17CA0"/>
    <w:rsid w:val="00B31DEA"/>
    <w:rsid w:val="00B345B6"/>
    <w:rsid w:val="00B349AE"/>
    <w:rsid w:val="00B4029C"/>
    <w:rsid w:val="00B42A89"/>
    <w:rsid w:val="00B516E8"/>
    <w:rsid w:val="00B5648B"/>
    <w:rsid w:val="00B61EC8"/>
    <w:rsid w:val="00B75794"/>
    <w:rsid w:val="00BA0D22"/>
    <w:rsid w:val="00BA1B60"/>
    <w:rsid w:val="00BA5F20"/>
    <w:rsid w:val="00BA7C61"/>
    <w:rsid w:val="00BB5E75"/>
    <w:rsid w:val="00BC1485"/>
    <w:rsid w:val="00BC3858"/>
    <w:rsid w:val="00BC5ACD"/>
    <w:rsid w:val="00BE131F"/>
    <w:rsid w:val="00BE7ADD"/>
    <w:rsid w:val="00C03E20"/>
    <w:rsid w:val="00C05A72"/>
    <w:rsid w:val="00C06388"/>
    <w:rsid w:val="00C10DF2"/>
    <w:rsid w:val="00C156D2"/>
    <w:rsid w:val="00C1646D"/>
    <w:rsid w:val="00C20764"/>
    <w:rsid w:val="00C364F9"/>
    <w:rsid w:val="00C42B81"/>
    <w:rsid w:val="00C64BEB"/>
    <w:rsid w:val="00C72D44"/>
    <w:rsid w:val="00C7451F"/>
    <w:rsid w:val="00C84D05"/>
    <w:rsid w:val="00C854C7"/>
    <w:rsid w:val="00C87E77"/>
    <w:rsid w:val="00C9093A"/>
    <w:rsid w:val="00C93BCB"/>
    <w:rsid w:val="00C94922"/>
    <w:rsid w:val="00CA3266"/>
    <w:rsid w:val="00CA697E"/>
    <w:rsid w:val="00CB3B76"/>
    <w:rsid w:val="00CB7B93"/>
    <w:rsid w:val="00CC1F26"/>
    <w:rsid w:val="00CC32BB"/>
    <w:rsid w:val="00CC4950"/>
    <w:rsid w:val="00CD2D18"/>
    <w:rsid w:val="00CD4EE0"/>
    <w:rsid w:val="00CD602E"/>
    <w:rsid w:val="00CE100A"/>
    <w:rsid w:val="00D0129E"/>
    <w:rsid w:val="00D052F6"/>
    <w:rsid w:val="00D067AD"/>
    <w:rsid w:val="00D07725"/>
    <w:rsid w:val="00D079C8"/>
    <w:rsid w:val="00D15E56"/>
    <w:rsid w:val="00D228FE"/>
    <w:rsid w:val="00D318E1"/>
    <w:rsid w:val="00D31C06"/>
    <w:rsid w:val="00D32136"/>
    <w:rsid w:val="00D32958"/>
    <w:rsid w:val="00D32B80"/>
    <w:rsid w:val="00D331C8"/>
    <w:rsid w:val="00D555EC"/>
    <w:rsid w:val="00D56705"/>
    <w:rsid w:val="00D56BC1"/>
    <w:rsid w:val="00D64ED7"/>
    <w:rsid w:val="00D66BAB"/>
    <w:rsid w:val="00D91B50"/>
    <w:rsid w:val="00D93625"/>
    <w:rsid w:val="00D95ACB"/>
    <w:rsid w:val="00D97C96"/>
    <w:rsid w:val="00DB14B3"/>
    <w:rsid w:val="00DB4A93"/>
    <w:rsid w:val="00DB6022"/>
    <w:rsid w:val="00DB767A"/>
    <w:rsid w:val="00DC6549"/>
    <w:rsid w:val="00DD55F6"/>
    <w:rsid w:val="00DE1EBB"/>
    <w:rsid w:val="00DE3135"/>
    <w:rsid w:val="00DF0E2F"/>
    <w:rsid w:val="00DF13D1"/>
    <w:rsid w:val="00DF3415"/>
    <w:rsid w:val="00DF4D24"/>
    <w:rsid w:val="00E00A21"/>
    <w:rsid w:val="00E03B1D"/>
    <w:rsid w:val="00E0594F"/>
    <w:rsid w:val="00E11116"/>
    <w:rsid w:val="00E15BCB"/>
    <w:rsid w:val="00E16A41"/>
    <w:rsid w:val="00E17B00"/>
    <w:rsid w:val="00E20C05"/>
    <w:rsid w:val="00E233A9"/>
    <w:rsid w:val="00E32D6B"/>
    <w:rsid w:val="00E34C8F"/>
    <w:rsid w:val="00E6010F"/>
    <w:rsid w:val="00E641E7"/>
    <w:rsid w:val="00E9338A"/>
    <w:rsid w:val="00EA7C9F"/>
    <w:rsid w:val="00EC5FA5"/>
    <w:rsid w:val="00ED2982"/>
    <w:rsid w:val="00EE7E89"/>
    <w:rsid w:val="00EF2309"/>
    <w:rsid w:val="00EF4A80"/>
    <w:rsid w:val="00F13C83"/>
    <w:rsid w:val="00F30B0B"/>
    <w:rsid w:val="00F32388"/>
    <w:rsid w:val="00F32FDE"/>
    <w:rsid w:val="00F351F3"/>
    <w:rsid w:val="00F3792B"/>
    <w:rsid w:val="00F473AE"/>
    <w:rsid w:val="00F52CA5"/>
    <w:rsid w:val="00F54320"/>
    <w:rsid w:val="00F55E43"/>
    <w:rsid w:val="00F602E7"/>
    <w:rsid w:val="00F60F05"/>
    <w:rsid w:val="00F62853"/>
    <w:rsid w:val="00F717D4"/>
    <w:rsid w:val="00F76945"/>
    <w:rsid w:val="00F814ED"/>
    <w:rsid w:val="00F83E71"/>
    <w:rsid w:val="00F9074C"/>
    <w:rsid w:val="00F92CBA"/>
    <w:rsid w:val="00F97BFB"/>
    <w:rsid w:val="00FA1543"/>
    <w:rsid w:val="00FB1DE8"/>
    <w:rsid w:val="00FB66FB"/>
    <w:rsid w:val="00FC097D"/>
    <w:rsid w:val="00FC2E3A"/>
    <w:rsid w:val="00FC3639"/>
    <w:rsid w:val="00FD13BD"/>
    <w:rsid w:val="00FE3BAA"/>
    <w:rsid w:val="00FE641D"/>
    <w:rsid w:val="00FF5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42F"/>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1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A3703C"/>
    <w:pPr>
      <w:ind w:left="720"/>
      <w:contextualSpacing/>
    </w:pPr>
  </w:style>
  <w:style w:type="paragraph" w:styleId="a5">
    <w:name w:val="header"/>
    <w:basedOn w:val="a"/>
    <w:link w:val="a6"/>
    <w:uiPriority w:val="99"/>
    <w:unhideWhenUsed/>
    <w:rsid w:val="00F60F05"/>
    <w:pPr>
      <w:widowControl/>
      <w:tabs>
        <w:tab w:val="center" w:pos="4677"/>
        <w:tab w:val="right" w:pos="9355"/>
      </w:tabs>
      <w:autoSpaceDE/>
      <w:autoSpaceDN/>
      <w:adjustRightInd/>
    </w:pPr>
    <w:rPr>
      <w:rFonts w:asciiTheme="minorHAnsi" w:eastAsiaTheme="minorEastAsia" w:hAnsiTheme="minorHAnsi" w:cstheme="minorBidi"/>
      <w:sz w:val="22"/>
      <w:szCs w:val="22"/>
    </w:rPr>
  </w:style>
  <w:style w:type="character" w:customStyle="1" w:styleId="a6">
    <w:name w:val="Верхний колонтитул Знак"/>
    <w:basedOn w:val="a0"/>
    <w:link w:val="a5"/>
    <w:uiPriority w:val="99"/>
    <w:rsid w:val="00F60F05"/>
    <w:rPr>
      <w:rFonts w:asciiTheme="minorHAnsi" w:eastAsiaTheme="minorEastAsia" w:hAnsiTheme="minorHAnsi" w:cstheme="minorBidi"/>
      <w:sz w:val="22"/>
      <w:szCs w:val="22"/>
    </w:rPr>
  </w:style>
  <w:style w:type="character" w:customStyle="1" w:styleId="il">
    <w:name w:val="il"/>
    <w:basedOn w:val="a0"/>
    <w:rsid w:val="00D07725"/>
  </w:style>
  <w:style w:type="paragraph" w:styleId="a7">
    <w:name w:val="Balloon Text"/>
    <w:basedOn w:val="a"/>
    <w:link w:val="a8"/>
    <w:uiPriority w:val="99"/>
    <w:semiHidden/>
    <w:unhideWhenUsed/>
    <w:rsid w:val="00552CB2"/>
    <w:rPr>
      <w:rFonts w:ascii="Tahoma" w:hAnsi="Tahoma" w:cs="Tahoma"/>
      <w:sz w:val="16"/>
      <w:szCs w:val="16"/>
    </w:rPr>
  </w:style>
  <w:style w:type="character" w:customStyle="1" w:styleId="a8">
    <w:name w:val="Текст выноски Знак"/>
    <w:basedOn w:val="a0"/>
    <w:link w:val="a7"/>
    <w:uiPriority w:val="99"/>
    <w:semiHidden/>
    <w:rsid w:val="00552CB2"/>
    <w:rPr>
      <w:rFonts w:ascii="Tahoma" w:hAnsi="Tahoma" w:cs="Tahoma"/>
      <w:sz w:val="16"/>
      <w:szCs w:val="16"/>
    </w:rPr>
  </w:style>
  <w:style w:type="character" w:styleId="a9">
    <w:name w:val="annotation reference"/>
    <w:basedOn w:val="a0"/>
    <w:uiPriority w:val="99"/>
    <w:semiHidden/>
    <w:unhideWhenUsed/>
    <w:rsid w:val="00552CB2"/>
    <w:rPr>
      <w:sz w:val="16"/>
      <w:szCs w:val="16"/>
    </w:rPr>
  </w:style>
  <w:style w:type="paragraph" w:styleId="aa">
    <w:name w:val="annotation text"/>
    <w:basedOn w:val="a"/>
    <w:link w:val="ab"/>
    <w:uiPriority w:val="99"/>
    <w:semiHidden/>
    <w:unhideWhenUsed/>
    <w:rsid w:val="00552CB2"/>
    <w:pPr>
      <w:widowControl/>
      <w:autoSpaceDE/>
      <w:autoSpaceDN/>
      <w:adjustRightInd/>
      <w:spacing w:after="160"/>
    </w:pPr>
    <w:rPr>
      <w:rFonts w:asciiTheme="minorHAnsi" w:eastAsiaTheme="minorHAnsi" w:hAnsiTheme="minorHAnsi" w:cstheme="minorBidi"/>
      <w:lang w:eastAsia="en-US"/>
    </w:rPr>
  </w:style>
  <w:style w:type="character" w:customStyle="1" w:styleId="ab">
    <w:name w:val="Текст примечания Знак"/>
    <w:basedOn w:val="a0"/>
    <w:link w:val="aa"/>
    <w:uiPriority w:val="99"/>
    <w:semiHidden/>
    <w:rsid w:val="00552CB2"/>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42F"/>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1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A3703C"/>
    <w:pPr>
      <w:ind w:left="720"/>
      <w:contextualSpacing/>
    </w:pPr>
  </w:style>
  <w:style w:type="paragraph" w:styleId="a5">
    <w:name w:val="header"/>
    <w:basedOn w:val="a"/>
    <w:link w:val="a6"/>
    <w:uiPriority w:val="99"/>
    <w:unhideWhenUsed/>
    <w:rsid w:val="00F60F05"/>
    <w:pPr>
      <w:widowControl/>
      <w:tabs>
        <w:tab w:val="center" w:pos="4677"/>
        <w:tab w:val="right" w:pos="9355"/>
      </w:tabs>
      <w:autoSpaceDE/>
      <w:autoSpaceDN/>
      <w:adjustRightInd/>
    </w:pPr>
    <w:rPr>
      <w:rFonts w:asciiTheme="minorHAnsi" w:eastAsiaTheme="minorEastAsia" w:hAnsiTheme="minorHAnsi" w:cstheme="minorBidi"/>
      <w:sz w:val="22"/>
      <w:szCs w:val="22"/>
    </w:rPr>
  </w:style>
  <w:style w:type="character" w:customStyle="1" w:styleId="a6">
    <w:name w:val="Верхний колонтитул Знак"/>
    <w:basedOn w:val="a0"/>
    <w:link w:val="a5"/>
    <w:uiPriority w:val="99"/>
    <w:rsid w:val="00F60F05"/>
    <w:rPr>
      <w:rFonts w:asciiTheme="minorHAnsi" w:eastAsiaTheme="minorEastAsia" w:hAnsiTheme="minorHAnsi" w:cstheme="minorBidi"/>
      <w:sz w:val="22"/>
      <w:szCs w:val="22"/>
    </w:rPr>
  </w:style>
  <w:style w:type="character" w:customStyle="1" w:styleId="il">
    <w:name w:val="il"/>
    <w:basedOn w:val="a0"/>
    <w:rsid w:val="00D07725"/>
  </w:style>
  <w:style w:type="paragraph" w:styleId="a7">
    <w:name w:val="Balloon Text"/>
    <w:basedOn w:val="a"/>
    <w:link w:val="a8"/>
    <w:uiPriority w:val="99"/>
    <w:semiHidden/>
    <w:unhideWhenUsed/>
    <w:rsid w:val="00552CB2"/>
    <w:rPr>
      <w:rFonts w:ascii="Tahoma" w:hAnsi="Tahoma" w:cs="Tahoma"/>
      <w:sz w:val="16"/>
      <w:szCs w:val="16"/>
    </w:rPr>
  </w:style>
  <w:style w:type="character" w:customStyle="1" w:styleId="a8">
    <w:name w:val="Текст выноски Знак"/>
    <w:basedOn w:val="a0"/>
    <w:link w:val="a7"/>
    <w:uiPriority w:val="99"/>
    <w:semiHidden/>
    <w:rsid w:val="00552CB2"/>
    <w:rPr>
      <w:rFonts w:ascii="Tahoma" w:hAnsi="Tahoma" w:cs="Tahoma"/>
      <w:sz w:val="16"/>
      <w:szCs w:val="16"/>
    </w:rPr>
  </w:style>
  <w:style w:type="character" w:styleId="a9">
    <w:name w:val="annotation reference"/>
    <w:basedOn w:val="a0"/>
    <w:uiPriority w:val="99"/>
    <w:semiHidden/>
    <w:unhideWhenUsed/>
    <w:rsid w:val="00552CB2"/>
    <w:rPr>
      <w:sz w:val="16"/>
      <w:szCs w:val="16"/>
    </w:rPr>
  </w:style>
  <w:style w:type="paragraph" w:styleId="aa">
    <w:name w:val="annotation text"/>
    <w:basedOn w:val="a"/>
    <w:link w:val="ab"/>
    <w:uiPriority w:val="99"/>
    <w:semiHidden/>
    <w:unhideWhenUsed/>
    <w:rsid w:val="00552CB2"/>
    <w:pPr>
      <w:widowControl/>
      <w:autoSpaceDE/>
      <w:autoSpaceDN/>
      <w:adjustRightInd/>
      <w:spacing w:after="160"/>
    </w:pPr>
    <w:rPr>
      <w:rFonts w:asciiTheme="minorHAnsi" w:eastAsiaTheme="minorHAnsi" w:hAnsiTheme="minorHAnsi" w:cstheme="minorBidi"/>
      <w:lang w:eastAsia="en-US"/>
    </w:rPr>
  </w:style>
  <w:style w:type="character" w:customStyle="1" w:styleId="ab">
    <w:name w:val="Текст примечания Знак"/>
    <w:basedOn w:val="a0"/>
    <w:link w:val="aa"/>
    <w:uiPriority w:val="99"/>
    <w:semiHidden/>
    <w:rsid w:val="00552CB2"/>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0863">
      <w:bodyDiv w:val="1"/>
      <w:marLeft w:val="0"/>
      <w:marRight w:val="0"/>
      <w:marTop w:val="0"/>
      <w:marBottom w:val="0"/>
      <w:divBdr>
        <w:top w:val="none" w:sz="0" w:space="0" w:color="auto"/>
        <w:left w:val="none" w:sz="0" w:space="0" w:color="auto"/>
        <w:bottom w:val="none" w:sz="0" w:space="0" w:color="auto"/>
        <w:right w:val="none" w:sz="0" w:space="0" w:color="auto"/>
      </w:divBdr>
    </w:div>
    <w:div w:id="53662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2CB05-189E-4D1E-B178-9E25EAFD4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5968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SimartSOFT</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калачевда</dc:creator>
  <cp:lastModifiedBy>User</cp:lastModifiedBy>
  <cp:revision>2</cp:revision>
  <cp:lastPrinted>2015-06-23T09:24:00Z</cp:lastPrinted>
  <dcterms:created xsi:type="dcterms:W3CDTF">2017-04-03T09:30:00Z</dcterms:created>
  <dcterms:modified xsi:type="dcterms:W3CDTF">2017-04-03T09:30:00Z</dcterms:modified>
</cp:coreProperties>
</file>