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6B" w:rsidRPr="00BA3BB2" w:rsidRDefault="00E7236B" w:rsidP="00E7236B">
      <w:pPr>
        <w:jc w:val="center"/>
        <w:rPr>
          <w:rFonts w:cs="Times New Roman"/>
        </w:rPr>
      </w:pPr>
      <w:bookmarkStart w:id="0" w:name="_GoBack"/>
      <w:bookmarkEnd w:id="0"/>
      <w:r w:rsidRPr="00BA3BB2">
        <w:rPr>
          <w:rFonts w:cs="Times New Roman"/>
          <w:b/>
        </w:rPr>
        <w:t xml:space="preserve">ТЕХНИЧЕСКОЕ ЗАДАНИЕ  </w:t>
      </w:r>
    </w:p>
    <w:p w:rsidR="00E7236B" w:rsidRPr="00BA3BB2" w:rsidRDefault="00E7236B" w:rsidP="00E7236B">
      <w:pPr>
        <w:jc w:val="center"/>
        <w:rPr>
          <w:rFonts w:cs="Times New Roman"/>
        </w:rPr>
      </w:pPr>
      <w:r w:rsidRPr="00BA3BB2">
        <w:rPr>
          <w:rFonts w:cs="Times New Roman"/>
        </w:rPr>
        <w:t xml:space="preserve">на разработку разделов проектной документации «Автоматизированная система управления доступом (АСКУД)» и «Видеонаблюдение» ЖСК «Новое </w:t>
      </w:r>
      <w:proofErr w:type="spellStart"/>
      <w:r w:rsidRPr="00BA3BB2">
        <w:rPr>
          <w:rFonts w:cs="Times New Roman"/>
        </w:rPr>
        <w:t>Аристово</w:t>
      </w:r>
      <w:proofErr w:type="spellEnd"/>
      <w:r w:rsidRPr="00BA3BB2">
        <w:rPr>
          <w:rFonts w:cs="Times New Roman"/>
        </w:rPr>
        <w:t xml:space="preserve">»,  расположенного по адресу: Московская область, Красногорский муниципальный район, сельское поселение </w:t>
      </w:r>
      <w:proofErr w:type="spellStart"/>
      <w:r w:rsidRPr="00BA3BB2">
        <w:rPr>
          <w:rFonts w:cs="Times New Roman"/>
        </w:rPr>
        <w:t>Отрадненское</w:t>
      </w:r>
      <w:proofErr w:type="spellEnd"/>
      <w:r w:rsidRPr="00BA3BB2">
        <w:rPr>
          <w:rFonts w:cs="Times New Roman"/>
        </w:rPr>
        <w:t xml:space="preserve">, вблизи д. </w:t>
      </w:r>
      <w:proofErr w:type="spellStart"/>
      <w:r w:rsidRPr="00BA3BB2">
        <w:rPr>
          <w:rFonts w:cs="Times New Roman"/>
        </w:rPr>
        <w:t>Аристово</w:t>
      </w:r>
      <w:proofErr w:type="spellEnd"/>
    </w:p>
    <w:tbl>
      <w:tblPr>
        <w:tblW w:w="1024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355"/>
        <w:gridCol w:w="7299"/>
      </w:tblGrid>
      <w:tr w:rsidR="00E7236B" w:rsidRPr="00BA3BB2" w:rsidTr="005132D3">
        <w:trPr>
          <w:trHeight w:val="67"/>
          <w:tblHeader/>
          <w:jc w:val="center"/>
        </w:trPr>
        <w:tc>
          <w:tcPr>
            <w:tcW w:w="589" w:type="dxa"/>
            <w:vAlign w:val="center"/>
          </w:tcPr>
          <w:p w:rsidR="00E7236B" w:rsidRPr="00BA3BB2" w:rsidRDefault="00E7236B" w:rsidP="005132D3">
            <w:pPr>
              <w:jc w:val="center"/>
              <w:rPr>
                <w:rFonts w:cs="Times New Roman"/>
              </w:rPr>
            </w:pPr>
            <w:r w:rsidRPr="00BA3BB2">
              <w:rPr>
                <w:rFonts w:cs="Times New Roman"/>
              </w:rPr>
              <w:t xml:space="preserve">№ </w:t>
            </w:r>
            <w:proofErr w:type="gramStart"/>
            <w:r w:rsidRPr="00BA3BB2">
              <w:rPr>
                <w:rFonts w:cs="Times New Roman"/>
              </w:rPr>
              <w:t>п</w:t>
            </w:r>
            <w:proofErr w:type="gramEnd"/>
            <w:r w:rsidRPr="00BA3BB2">
              <w:rPr>
                <w:rFonts w:cs="Times New Roman"/>
              </w:rPr>
              <w:t>/п</w:t>
            </w:r>
          </w:p>
        </w:tc>
        <w:tc>
          <w:tcPr>
            <w:tcW w:w="2355" w:type="dxa"/>
            <w:vAlign w:val="center"/>
          </w:tcPr>
          <w:p w:rsidR="00E7236B" w:rsidRPr="00BA3BB2" w:rsidRDefault="00E7236B" w:rsidP="005132D3">
            <w:pPr>
              <w:jc w:val="center"/>
              <w:rPr>
                <w:rFonts w:cs="Times New Roman"/>
              </w:rPr>
            </w:pPr>
            <w:r w:rsidRPr="00BA3BB2">
              <w:rPr>
                <w:rFonts w:cs="Times New Roman"/>
              </w:rPr>
              <w:t>Наименование условия</w:t>
            </w:r>
          </w:p>
        </w:tc>
        <w:tc>
          <w:tcPr>
            <w:tcW w:w="7299" w:type="dxa"/>
            <w:vAlign w:val="center"/>
          </w:tcPr>
          <w:p w:rsidR="00E7236B" w:rsidRPr="00BA3BB2" w:rsidRDefault="00E7236B" w:rsidP="005132D3">
            <w:pPr>
              <w:jc w:val="center"/>
              <w:rPr>
                <w:rFonts w:cs="Times New Roman"/>
              </w:rPr>
            </w:pPr>
            <w:r w:rsidRPr="00BA3BB2">
              <w:rPr>
                <w:rFonts w:cs="Times New Roman"/>
              </w:rPr>
              <w:t>Расшифровка условия</w:t>
            </w:r>
          </w:p>
        </w:tc>
      </w:tr>
      <w:tr w:rsidR="00E7236B" w:rsidRPr="00BA3BB2" w:rsidTr="005132D3">
        <w:trPr>
          <w:trHeight w:val="173"/>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rPr>
                <w:rFonts w:cs="Times New Roman"/>
              </w:rPr>
            </w:pPr>
            <w:r w:rsidRPr="00BA3BB2">
              <w:rPr>
                <w:rFonts w:cs="Times New Roman"/>
                <w:b/>
              </w:rPr>
              <w:t>Наименование объекта</w:t>
            </w:r>
          </w:p>
        </w:tc>
        <w:tc>
          <w:tcPr>
            <w:tcW w:w="7299" w:type="dxa"/>
          </w:tcPr>
          <w:p w:rsidR="00E7236B" w:rsidRPr="00BA3BB2" w:rsidRDefault="00E7236B" w:rsidP="005132D3">
            <w:pPr>
              <w:pStyle w:val="a3"/>
              <w:spacing w:line="360" w:lineRule="auto"/>
              <w:jc w:val="both"/>
              <w:rPr>
                <w:rFonts w:cs="Times New Roman"/>
              </w:rPr>
            </w:pPr>
            <w:r w:rsidRPr="00BA3BB2">
              <w:rPr>
                <w:rFonts w:cs="Times New Roman"/>
              </w:rPr>
              <w:t xml:space="preserve">ЖСК «Новое </w:t>
            </w:r>
            <w:proofErr w:type="spellStart"/>
            <w:r w:rsidRPr="00BA3BB2">
              <w:rPr>
                <w:rFonts w:cs="Times New Roman"/>
              </w:rPr>
              <w:t>Аристово</w:t>
            </w:r>
            <w:proofErr w:type="spellEnd"/>
            <w:r w:rsidRPr="00BA3BB2">
              <w:rPr>
                <w:rFonts w:cs="Times New Roman"/>
              </w:rPr>
              <w:t>»</w:t>
            </w:r>
          </w:p>
        </w:tc>
      </w:tr>
      <w:tr w:rsidR="00E7236B" w:rsidRPr="00BA3BB2" w:rsidTr="005132D3">
        <w:trPr>
          <w:trHeight w:val="718"/>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rPr>
                <w:rFonts w:cs="Times New Roman"/>
              </w:rPr>
            </w:pPr>
            <w:r w:rsidRPr="00BA3BB2">
              <w:rPr>
                <w:rFonts w:cs="Times New Roman"/>
                <w:b/>
              </w:rPr>
              <w:t>Вид работ</w:t>
            </w:r>
          </w:p>
        </w:tc>
        <w:tc>
          <w:tcPr>
            <w:tcW w:w="7299" w:type="dxa"/>
          </w:tcPr>
          <w:p w:rsidR="00E7236B" w:rsidRPr="00BA3BB2" w:rsidRDefault="00E7236B" w:rsidP="005132D3">
            <w:pPr>
              <w:rPr>
                <w:rFonts w:cs="Times New Roman"/>
              </w:rPr>
            </w:pPr>
            <w:r w:rsidRPr="00BA3BB2">
              <w:rPr>
                <w:rFonts w:cs="Times New Roman"/>
              </w:rPr>
              <w:t>разработка разделов проектной документации «Автоматизированная система управления доступом (АСКУД)» и «Видеонаблюдение» в объеме, достаточном для производства монтажных работ по разработанным разделам</w:t>
            </w:r>
          </w:p>
        </w:tc>
      </w:tr>
      <w:tr w:rsidR="00E7236B" w:rsidRPr="00BA3BB2" w:rsidTr="005132D3">
        <w:trPr>
          <w:trHeight w:val="67"/>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rPr>
                <w:rFonts w:cs="Times New Roman"/>
                <w:b/>
              </w:rPr>
            </w:pPr>
            <w:r w:rsidRPr="00BA3BB2">
              <w:rPr>
                <w:rFonts w:cs="Times New Roman"/>
                <w:b/>
              </w:rPr>
              <w:t>Местоположение объекта</w:t>
            </w:r>
          </w:p>
        </w:tc>
        <w:tc>
          <w:tcPr>
            <w:tcW w:w="7299" w:type="dxa"/>
          </w:tcPr>
          <w:p w:rsidR="00E7236B" w:rsidRPr="00BA3BB2" w:rsidRDefault="00E7236B" w:rsidP="005132D3">
            <w:pPr>
              <w:rPr>
                <w:rFonts w:cs="Times New Roman"/>
              </w:rPr>
            </w:pPr>
            <w:r w:rsidRPr="00BA3BB2">
              <w:rPr>
                <w:rFonts w:cs="Times New Roman"/>
              </w:rPr>
              <w:t xml:space="preserve">Московская область, Красногорский муниципальный район, сельское поселение </w:t>
            </w:r>
            <w:proofErr w:type="spellStart"/>
            <w:r w:rsidRPr="00BA3BB2">
              <w:rPr>
                <w:rFonts w:cs="Times New Roman"/>
              </w:rPr>
              <w:t>Отрадненское</w:t>
            </w:r>
            <w:proofErr w:type="spellEnd"/>
            <w:r w:rsidRPr="00BA3BB2">
              <w:rPr>
                <w:rFonts w:cs="Times New Roman"/>
              </w:rPr>
              <w:t xml:space="preserve">, вблизи д. </w:t>
            </w:r>
            <w:proofErr w:type="spellStart"/>
            <w:r w:rsidRPr="00BA3BB2">
              <w:rPr>
                <w:rFonts w:cs="Times New Roman"/>
              </w:rPr>
              <w:t>Аристово</w:t>
            </w:r>
            <w:proofErr w:type="spellEnd"/>
          </w:p>
        </w:tc>
      </w:tr>
      <w:tr w:rsidR="00E7236B" w:rsidRPr="00BA3BB2" w:rsidTr="005132D3">
        <w:trPr>
          <w:trHeight w:val="67"/>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spacing w:after="120"/>
              <w:rPr>
                <w:rFonts w:cs="Times New Roman"/>
                <w:b/>
              </w:rPr>
            </w:pPr>
            <w:r w:rsidRPr="00BA3BB2">
              <w:rPr>
                <w:rFonts w:cs="Times New Roman"/>
                <w:b/>
              </w:rPr>
              <w:t>Заказчик</w:t>
            </w:r>
          </w:p>
        </w:tc>
        <w:tc>
          <w:tcPr>
            <w:tcW w:w="7299" w:type="dxa"/>
          </w:tcPr>
          <w:p w:rsidR="00E7236B" w:rsidRPr="00BA3BB2" w:rsidRDefault="00E7236B" w:rsidP="005132D3">
            <w:pPr>
              <w:pStyle w:val="a6"/>
              <w:tabs>
                <w:tab w:val="clear" w:pos="4677"/>
                <w:tab w:val="clear" w:pos="9355"/>
              </w:tabs>
              <w:spacing w:after="120"/>
              <w:jc w:val="both"/>
            </w:pPr>
            <w:r w:rsidRPr="00BA3BB2">
              <w:t>ООО «Спецпусконаладка»</w:t>
            </w:r>
          </w:p>
        </w:tc>
      </w:tr>
      <w:tr w:rsidR="00E7236B" w:rsidRPr="00BA3BB2" w:rsidTr="005132D3">
        <w:trPr>
          <w:trHeight w:val="1699"/>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rPr>
                <w:rFonts w:cs="Times New Roman"/>
                <w:b/>
              </w:rPr>
            </w:pPr>
            <w:r w:rsidRPr="00BA3BB2">
              <w:rPr>
                <w:rFonts w:cs="Times New Roman"/>
                <w:b/>
              </w:rPr>
              <w:t>Исходная документация</w:t>
            </w:r>
          </w:p>
        </w:tc>
        <w:tc>
          <w:tcPr>
            <w:tcW w:w="7299" w:type="dxa"/>
            <w:tcBorders>
              <w:bottom w:val="single" w:sz="4" w:space="0" w:color="auto"/>
            </w:tcBorders>
          </w:tcPr>
          <w:p w:rsidR="00E7236B" w:rsidRPr="00BA3BB2" w:rsidRDefault="00E7236B" w:rsidP="005132D3">
            <w:pPr>
              <w:rPr>
                <w:rFonts w:cs="Times New Roman"/>
              </w:rPr>
            </w:pPr>
            <w:r w:rsidRPr="00BA3BB2">
              <w:rPr>
                <w:rFonts w:cs="Times New Roman"/>
              </w:rPr>
              <w:t xml:space="preserve">1. Рабочая  документация «Жилой комплекс </w:t>
            </w:r>
            <w:proofErr w:type="spellStart"/>
            <w:r w:rsidRPr="00BA3BB2">
              <w:rPr>
                <w:rFonts w:cs="Times New Roman"/>
              </w:rPr>
              <w:t>Аристово</w:t>
            </w:r>
            <w:proofErr w:type="spellEnd"/>
            <w:r w:rsidRPr="00BA3BB2">
              <w:rPr>
                <w:rFonts w:cs="Times New Roman"/>
              </w:rPr>
              <w:t xml:space="preserve"> по адресу: Московская область, Красногорский муниципальный район, сельское поселение </w:t>
            </w:r>
            <w:proofErr w:type="spellStart"/>
            <w:r w:rsidRPr="00BA3BB2">
              <w:rPr>
                <w:rFonts w:cs="Times New Roman"/>
              </w:rPr>
              <w:t>Отрадненское</w:t>
            </w:r>
            <w:proofErr w:type="spellEnd"/>
            <w:r w:rsidRPr="00BA3BB2">
              <w:rPr>
                <w:rFonts w:cs="Times New Roman"/>
              </w:rPr>
              <w:t xml:space="preserve">, вблизи д. </w:t>
            </w:r>
            <w:proofErr w:type="spellStart"/>
            <w:r w:rsidRPr="00BA3BB2">
              <w:rPr>
                <w:rFonts w:cs="Times New Roman"/>
              </w:rPr>
              <w:t>Аристово</w:t>
            </w:r>
            <w:proofErr w:type="spellEnd"/>
            <w:r w:rsidRPr="00BA3BB2">
              <w:rPr>
                <w:rFonts w:cs="Times New Roman"/>
              </w:rPr>
              <w:t>» в  следующем составе:</w:t>
            </w:r>
          </w:p>
          <w:p w:rsidR="00E7236B" w:rsidRPr="00BA3BB2" w:rsidRDefault="00E7236B" w:rsidP="005132D3">
            <w:pPr>
              <w:spacing w:line="276" w:lineRule="auto"/>
              <w:jc w:val="both"/>
              <w:rPr>
                <w:rFonts w:cs="Times New Roman"/>
              </w:rPr>
            </w:pPr>
            <w:r w:rsidRPr="00BA3BB2">
              <w:rPr>
                <w:rFonts w:cs="Times New Roman"/>
              </w:rPr>
              <w:t>Раздел Генеральный план;</w:t>
            </w:r>
          </w:p>
          <w:p w:rsidR="00E7236B" w:rsidRPr="00BA3BB2" w:rsidRDefault="00E7236B" w:rsidP="005132D3">
            <w:pPr>
              <w:spacing w:line="276" w:lineRule="auto"/>
              <w:jc w:val="both"/>
              <w:rPr>
                <w:rFonts w:cs="Times New Roman"/>
              </w:rPr>
            </w:pPr>
            <w:r w:rsidRPr="00BA3BB2">
              <w:rPr>
                <w:rFonts w:cs="Times New Roman"/>
              </w:rPr>
              <w:t>Раздел Система электроснабжения.</w:t>
            </w:r>
          </w:p>
          <w:p w:rsidR="00E7236B" w:rsidRPr="00BA3BB2" w:rsidRDefault="00E7236B" w:rsidP="005132D3">
            <w:pPr>
              <w:pStyle w:val="a5"/>
              <w:shd w:val="clear" w:color="auto" w:fill="FFFFFF"/>
              <w:spacing w:after="200" w:line="276" w:lineRule="auto"/>
              <w:ind w:left="0" w:right="166"/>
            </w:pPr>
            <w:r w:rsidRPr="00BA3BB2">
              <w:t>2. Настоящее техническое задание.</w:t>
            </w:r>
          </w:p>
        </w:tc>
      </w:tr>
      <w:tr w:rsidR="00E7236B" w:rsidRPr="00BA3BB2" w:rsidTr="005132D3">
        <w:trPr>
          <w:trHeight w:val="67"/>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jc w:val="both"/>
              <w:rPr>
                <w:rFonts w:eastAsia="Times New Roman" w:cs="Times New Roman"/>
                <w:b/>
              </w:rPr>
            </w:pPr>
            <w:r w:rsidRPr="00BA3BB2">
              <w:rPr>
                <w:rFonts w:eastAsia="Times New Roman" w:cs="Times New Roman"/>
                <w:b/>
              </w:rPr>
              <w:t xml:space="preserve">Наименование выполняемых работ по проектированию: </w:t>
            </w:r>
          </w:p>
          <w:p w:rsidR="00E7236B" w:rsidRPr="00BA3BB2" w:rsidRDefault="00E7236B" w:rsidP="005132D3">
            <w:pPr>
              <w:rPr>
                <w:rFonts w:cs="Times New Roman"/>
                <w:b/>
              </w:rPr>
            </w:pPr>
          </w:p>
        </w:tc>
        <w:tc>
          <w:tcPr>
            <w:tcW w:w="7299" w:type="dxa"/>
          </w:tcPr>
          <w:p w:rsidR="00E7236B" w:rsidRPr="00BA3BB2" w:rsidRDefault="00E7236B" w:rsidP="005132D3">
            <w:pPr>
              <w:pStyle w:val="a4"/>
            </w:pPr>
            <w:r w:rsidRPr="00BA3BB2">
              <w:t>Разработать ПД на АСКУД и видеонаблюдение территории всего поселка, 29шт  многоквартирных  домов (МКД) (25 квартирных, в среднем).</w:t>
            </w:r>
          </w:p>
          <w:p w:rsidR="00E7236B" w:rsidRPr="00BA3BB2" w:rsidRDefault="00E7236B" w:rsidP="005132D3">
            <w:pPr>
              <w:pStyle w:val="a4"/>
            </w:pPr>
            <w:r w:rsidRPr="00BA3BB2">
              <w:t>Требуемое оборудо</w:t>
            </w:r>
            <w:r>
              <w:t>в</w:t>
            </w:r>
            <w:r w:rsidRPr="00BA3BB2">
              <w:t>ание:</w:t>
            </w:r>
          </w:p>
          <w:p w:rsidR="00E7236B" w:rsidRDefault="00E7236B" w:rsidP="005132D3">
            <w:pPr>
              <w:pStyle w:val="a4"/>
            </w:pPr>
            <w:r w:rsidRPr="00BA3BB2">
              <w:t xml:space="preserve">1. квартиры - </w:t>
            </w:r>
            <w:proofErr w:type="spellStart"/>
            <w:r w:rsidRPr="00BA3BB2">
              <w:t>аудиотрубки</w:t>
            </w:r>
            <w:proofErr w:type="spellEnd"/>
          </w:p>
          <w:p w:rsidR="00E7236B" w:rsidRPr="00BA3BB2" w:rsidRDefault="00E7236B" w:rsidP="005132D3">
            <w:pPr>
              <w:pStyle w:val="a4"/>
            </w:pPr>
            <w:r w:rsidRPr="00BA3BB2">
              <w:t>2. МКД - на входную дверь аудио вызывная панель + считыватель карт (брелоков) + электромагнитный замок +кнопка на выход+ видеокамера;</w:t>
            </w:r>
          </w:p>
          <w:p w:rsidR="00E7236B" w:rsidRPr="00BA3BB2" w:rsidRDefault="00E7236B" w:rsidP="005132D3">
            <w:pPr>
              <w:pStyle w:val="a4"/>
            </w:pPr>
            <w:r w:rsidRPr="00BA3BB2">
              <w:t>3. МКД - на дверь запасного входа – считыватель карт (брелоков) + электромагнитный замок с доводчиком +кнопка на выход;</w:t>
            </w:r>
          </w:p>
          <w:p w:rsidR="00E7236B" w:rsidRPr="00BA3BB2" w:rsidRDefault="00E7236B" w:rsidP="005132D3">
            <w:pPr>
              <w:pStyle w:val="a4"/>
            </w:pPr>
            <w:r w:rsidRPr="00BA3BB2">
              <w:t>4. КПП 2шт – по два  шлагбаума, один турникет, удаленный считыватель брелоков (1-1,5м) для проезда машин;</w:t>
            </w:r>
          </w:p>
          <w:p w:rsidR="00E7236B" w:rsidRPr="00BA3BB2" w:rsidRDefault="00E7236B" w:rsidP="005132D3">
            <w:pPr>
              <w:pStyle w:val="a4"/>
            </w:pPr>
            <w:r w:rsidRPr="00BA3BB2">
              <w:t>5. Калитка на территорию 3шт - считыватель карт (брелоков) + электромагнитный замок с доводчиком +кнопка на выход+ контроль открыто/закрыто;</w:t>
            </w:r>
          </w:p>
          <w:p w:rsidR="00E7236B" w:rsidRPr="00BA3BB2" w:rsidRDefault="00E7236B" w:rsidP="005132D3">
            <w:pPr>
              <w:pStyle w:val="a4"/>
            </w:pPr>
            <w:r w:rsidRPr="00BA3BB2">
              <w:t>6. Проход на территорию поселка и в дома по брелокам, защищенным от копирования.</w:t>
            </w:r>
          </w:p>
          <w:p w:rsidR="00E7236B" w:rsidRPr="00BA3BB2" w:rsidRDefault="00E7236B" w:rsidP="005132D3">
            <w:pPr>
              <w:pStyle w:val="a4"/>
            </w:pPr>
            <w:r w:rsidRPr="00BA3BB2">
              <w:t>7. Все оборудование в одной сети с АРМ в диспетчерской, у АРМ должна быть возможность просматривать/ прослушивать/ записывать/хранить вид</w:t>
            </w:r>
            <w:proofErr w:type="gramStart"/>
            <w:r w:rsidRPr="00BA3BB2">
              <w:t>ео/ау</w:t>
            </w:r>
            <w:proofErr w:type="gramEnd"/>
            <w:r w:rsidRPr="00BA3BB2">
              <w:t xml:space="preserve">дио (в т. ч. с вызывных панелей), </w:t>
            </w:r>
            <w:r w:rsidRPr="00BA3BB2">
              <w:lastRenderedPageBreak/>
              <w:t>отключать/подключать брелоки, в автоматическом режиме выполнять команды из учетной системы управляющей компании (1С) на отключение/включение брелоков (например,  при неоплате/оплате за ЖКУ).</w:t>
            </w:r>
          </w:p>
          <w:p w:rsidR="00E7236B" w:rsidRPr="00BA3BB2" w:rsidRDefault="00E7236B" w:rsidP="005132D3">
            <w:pPr>
              <w:pStyle w:val="a5"/>
            </w:pPr>
            <w:r w:rsidRPr="00BA3BB2">
              <w:t xml:space="preserve"> </w:t>
            </w:r>
          </w:p>
        </w:tc>
      </w:tr>
      <w:tr w:rsidR="00E7236B" w:rsidRPr="00BA3BB2" w:rsidTr="005132D3">
        <w:trPr>
          <w:trHeight w:val="426"/>
          <w:jc w:val="center"/>
        </w:trPr>
        <w:tc>
          <w:tcPr>
            <w:tcW w:w="589" w:type="dxa"/>
          </w:tcPr>
          <w:p w:rsidR="00E7236B" w:rsidRPr="00BA3BB2" w:rsidRDefault="00E7236B" w:rsidP="00E7236B">
            <w:pPr>
              <w:numPr>
                <w:ilvl w:val="0"/>
                <w:numId w:val="1"/>
              </w:numPr>
              <w:tabs>
                <w:tab w:val="num" w:pos="-4068"/>
                <w:tab w:val="left" w:pos="176"/>
              </w:tabs>
              <w:suppressAutoHyphens w:val="0"/>
              <w:autoSpaceDE w:val="0"/>
              <w:adjustRightInd w:val="0"/>
              <w:ind w:left="0" w:hanging="18"/>
              <w:textAlignment w:val="auto"/>
              <w:rPr>
                <w:rFonts w:cs="Times New Roman"/>
              </w:rPr>
            </w:pPr>
          </w:p>
        </w:tc>
        <w:tc>
          <w:tcPr>
            <w:tcW w:w="2355" w:type="dxa"/>
          </w:tcPr>
          <w:p w:rsidR="00E7236B" w:rsidRPr="00BA3BB2" w:rsidRDefault="00E7236B" w:rsidP="005132D3">
            <w:pPr>
              <w:rPr>
                <w:rFonts w:eastAsia="Times New Roman" w:cs="Times New Roman"/>
                <w:b/>
              </w:rPr>
            </w:pPr>
            <w:r w:rsidRPr="00BA3BB2">
              <w:rPr>
                <w:rFonts w:eastAsia="Times New Roman" w:cs="Times New Roman"/>
                <w:b/>
              </w:rPr>
              <w:t>Цели использования результатов работ (услуг)</w:t>
            </w:r>
            <w:r w:rsidRPr="00BA3BB2">
              <w:rPr>
                <w:rFonts w:eastAsia="Times New Roman" w:cs="Times New Roman"/>
              </w:rPr>
              <w:t>:</w:t>
            </w:r>
          </w:p>
        </w:tc>
        <w:tc>
          <w:tcPr>
            <w:tcW w:w="7299" w:type="dxa"/>
          </w:tcPr>
          <w:p w:rsidR="00E7236B" w:rsidRPr="00BA3BB2" w:rsidRDefault="00E7236B" w:rsidP="005132D3">
            <w:pPr>
              <w:jc w:val="both"/>
              <w:rPr>
                <w:rFonts w:cs="Times New Roman"/>
              </w:rPr>
            </w:pPr>
            <w:r w:rsidRPr="00BA3BB2">
              <w:rPr>
                <w:rFonts w:eastAsia="Times New Roman" w:cs="Times New Roman"/>
              </w:rPr>
              <w:t>Производство монтажных работ по разработанной проектной документации</w:t>
            </w:r>
          </w:p>
        </w:tc>
      </w:tr>
      <w:tr w:rsidR="00E7236B" w:rsidRPr="00BA3BB2" w:rsidTr="005132D3">
        <w:trPr>
          <w:trHeight w:val="67"/>
          <w:jc w:val="center"/>
        </w:trPr>
        <w:tc>
          <w:tcPr>
            <w:tcW w:w="589" w:type="dxa"/>
          </w:tcPr>
          <w:p w:rsidR="00E7236B" w:rsidRPr="00BA3BB2" w:rsidRDefault="00E7236B" w:rsidP="005132D3">
            <w:pPr>
              <w:tabs>
                <w:tab w:val="left" w:pos="176"/>
              </w:tabs>
              <w:suppressAutoHyphens w:val="0"/>
              <w:autoSpaceDE w:val="0"/>
              <w:adjustRightInd w:val="0"/>
              <w:textAlignment w:val="auto"/>
              <w:rPr>
                <w:rFonts w:cs="Times New Roman"/>
              </w:rPr>
            </w:pPr>
            <w:r w:rsidRPr="00BA3BB2">
              <w:rPr>
                <w:rFonts w:cs="Times New Roman"/>
              </w:rPr>
              <w:t>8.</w:t>
            </w:r>
          </w:p>
        </w:tc>
        <w:tc>
          <w:tcPr>
            <w:tcW w:w="2355" w:type="dxa"/>
          </w:tcPr>
          <w:p w:rsidR="00E7236B" w:rsidRPr="00BA3BB2" w:rsidRDefault="00E7236B" w:rsidP="005132D3">
            <w:pPr>
              <w:rPr>
                <w:rFonts w:eastAsia="Times New Roman" w:cs="Times New Roman"/>
                <w:b/>
              </w:rPr>
            </w:pPr>
            <w:r w:rsidRPr="00BA3BB2">
              <w:rPr>
                <w:rFonts w:eastAsia="Times New Roman" w:cs="Times New Roman"/>
                <w:b/>
              </w:rPr>
              <w:t>Требования к выполнению работ:</w:t>
            </w:r>
          </w:p>
        </w:tc>
        <w:tc>
          <w:tcPr>
            <w:tcW w:w="7299" w:type="dxa"/>
          </w:tcPr>
          <w:p w:rsidR="00E7236B" w:rsidRPr="00BA3BB2" w:rsidRDefault="00E7236B" w:rsidP="005132D3">
            <w:pPr>
              <w:pStyle w:val="a5"/>
              <w:ind w:left="0"/>
              <w:jc w:val="both"/>
            </w:pPr>
            <w:r w:rsidRPr="00BA3BB2">
              <w:t>Все работы должны соответствовать требованиям СНиП и другим действующим нормативным актам Российской Федерации в части состава, содержания и оформления технической документации для строительства и реконструкции</w:t>
            </w:r>
          </w:p>
        </w:tc>
      </w:tr>
    </w:tbl>
    <w:p w:rsidR="002A20D7" w:rsidRDefault="002A20D7"/>
    <w:sectPr w:rsidR="002A2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52145"/>
    <w:multiLevelType w:val="hybridMultilevel"/>
    <w:tmpl w:val="8DD6F800"/>
    <w:lvl w:ilvl="0" w:tplc="28CC8C96">
      <w:start w:val="1"/>
      <w:numFmt w:val="decimal"/>
      <w:lvlText w:val="%1."/>
      <w:lvlJc w:val="left"/>
      <w:pPr>
        <w:tabs>
          <w:tab w:val="num" w:pos="502"/>
        </w:tabs>
        <w:ind w:left="502" w:hanging="360"/>
      </w:pPr>
    </w:lvl>
    <w:lvl w:ilvl="1" w:tplc="CA58302A" w:tentative="1">
      <w:start w:val="1"/>
      <w:numFmt w:val="lowerLetter"/>
      <w:lvlText w:val="%2."/>
      <w:lvlJc w:val="left"/>
      <w:pPr>
        <w:tabs>
          <w:tab w:val="num" w:pos="1222"/>
        </w:tabs>
        <w:ind w:left="1222" w:hanging="360"/>
      </w:pPr>
    </w:lvl>
    <w:lvl w:ilvl="2" w:tplc="2B3861B2" w:tentative="1">
      <w:start w:val="1"/>
      <w:numFmt w:val="lowerRoman"/>
      <w:lvlText w:val="%3."/>
      <w:lvlJc w:val="right"/>
      <w:pPr>
        <w:tabs>
          <w:tab w:val="num" w:pos="1942"/>
        </w:tabs>
        <w:ind w:left="1942" w:hanging="180"/>
      </w:pPr>
    </w:lvl>
    <w:lvl w:ilvl="3" w:tplc="450E8C00" w:tentative="1">
      <w:start w:val="1"/>
      <w:numFmt w:val="decimal"/>
      <w:lvlText w:val="%4."/>
      <w:lvlJc w:val="left"/>
      <w:pPr>
        <w:tabs>
          <w:tab w:val="num" w:pos="2662"/>
        </w:tabs>
        <w:ind w:left="2662" w:hanging="360"/>
      </w:pPr>
    </w:lvl>
    <w:lvl w:ilvl="4" w:tplc="47ECA386" w:tentative="1">
      <w:start w:val="1"/>
      <w:numFmt w:val="lowerLetter"/>
      <w:lvlText w:val="%5."/>
      <w:lvlJc w:val="left"/>
      <w:pPr>
        <w:tabs>
          <w:tab w:val="num" w:pos="3382"/>
        </w:tabs>
        <w:ind w:left="3382" w:hanging="360"/>
      </w:pPr>
    </w:lvl>
    <w:lvl w:ilvl="5" w:tplc="B666F1CA" w:tentative="1">
      <w:start w:val="1"/>
      <w:numFmt w:val="lowerRoman"/>
      <w:lvlText w:val="%6."/>
      <w:lvlJc w:val="right"/>
      <w:pPr>
        <w:tabs>
          <w:tab w:val="num" w:pos="4102"/>
        </w:tabs>
        <w:ind w:left="4102" w:hanging="180"/>
      </w:pPr>
    </w:lvl>
    <w:lvl w:ilvl="6" w:tplc="98BE368E" w:tentative="1">
      <w:start w:val="1"/>
      <w:numFmt w:val="decimal"/>
      <w:lvlText w:val="%7."/>
      <w:lvlJc w:val="left"/>
      <w:pPr>
        <w:tabs>
          <w:tab w:val="num" w:pos="4822"/>
        </w:tabs>
        <w:ind w:left="4822" w:hanging="360"/>
      </w:pPr>
    </w:lvl>
    <w:lvl w:ilvl="7" w:tplc="5ACE138C" w:tentative="1">
      <w:start w:val="1"/>
      <w:numFmt w:val="lowerLetter"/>
      <w:lvlText w:val="%8."/>
      <w:lvlJc w:val="left"/>
      <w:pPr>
        <w:tabs>
          <w:tab w:val="num" w:pos="5542"/>
        </w:tabs>
        <w:ind w:left="5542" w:hanging="360"/>
      </w:pPr>
    </w:lvl>
    <w:lvl w:ilvl="8" w:tplc="272C3EF0" w:tentative="1">
      <w:start w:val="1"/>
      <w:numFmt w:val="lowerRoman"/>
      <w:lvlText w:val="%9."/>
      <w:lvlJc w:val="right"/>
      <w:pPr>
        <w:tabs>
          <w:tab w:val="num" w:pos="6262"/>
        </w:tabs>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6B"/>
    <w:rsid w:val="002A20D7"/>
    <w:rsid w:val="00E7236B"/>
    <w:rsid w:val="00FA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E7236B"/>
    <w:rPr>
      <w:rFonts w:eastAsia="Times New Roman"/>
      <w:lang w:bidi="ar-SA"/>
    </w:rPr>
  </w:style>
  <w:style w:type="paragraph" w:styleId="a4">
    <w:name w:val="Normal (Web)"/>
    <w:basedOn w:val="a"/>
    <w:uiPriority w:val="99"/>
    <w:rsid w:val="00E7236B"/>
    <w:pPr>
      <w:spacing w:after="240"/>
      <w:ind w:right="240"/>
    </w:pPr>
    <w:rPr>
      <w:rFonts w:eastAsia="SimSun, 宋体" w:cs="Times New Roman"/>
      <w:lang w:bidi="ar-SA"/>
    </w:rPr>
  </w:style>
  <w:style w:type="paragraph" w:styleId="a5">
    <w:name w:val="List Paragraph"/>
    <w:basedOn w:val="a"/>
    <w:uiPriority w:val="34"/>
    <w:qFormat/>
    <w:rsid w:val="00E7236B"/>
    <w:pPr>
      <w:widowControl/>
      <w:suppressAutoHyphens w:val="0"/>
      <w:autoSpaceDN/>
      <w:ind w:left="720"/>
      <w:contextualSpacing/>
      <w:textAlignment w:val="auto"/>
    </w:pPr>
    <w:rPr>
      <w:rFonts w:eastAsia="Times New Roman" w:cs="Times New Roman"/>
      <w:kern w:val="0"/>
      <w:lang w:eastAsia="ru-RU" w:bidi="ar-SA"/>
    </w:rPr>
  </w:style>
  <w:style w:type="paragraph" w:styleId="a6">
    <w:name w:val="header"/>
    <w:aliases w:val="Верхний колонтитул Знак Знак Знак,Верхний колонтитул Знак Знак Знак Знак Знак Знак,Верхний колонтитул Знак1 Знак,Верхний колонтитул Знак1 Знак Знак Знак Знак,Верхний колонтитул Знак2 Знак Знак Знак"/>
    <w:basedOn w:val="a"/>
    <w:link w:val="a7"/>
    <w:rsid w:val="00E7236B"/>
    <w:pPr>
      <w:widowControl/>
      <w:tabs>
        <w:tab w:val="center" w:pos="4677"/>
        <w:tab w:val="right" w:pos="9355"/>
      </w:tabs>
      <w:suppressAutoHyphens w:val="0"/>
      <w:autoSpaceDN/>
      <w:textAlignment w:val="auto"/>
    </w:pPr>
    <w:rPr>
      <w:rFonts w:eastAsia="Times New Roman" w:cs="Times New Roman"/>
      <w:kern w:val="0"/>
      <w:lang w:eastAsia="ru-RU" w:bidi="ar-SA"/>
    </w:rPr>
  </w:style>
  <w:style w:type="character" w:customStyle="1" w:styleId="a7">
    <w:name w:val="Верхний колонтитул Знак"/>
    <w:aliases w:val="Верхний колонтитул Знак Знак Знак Знак,Верхний колонтитул Знак Знак Знак Знак Знак Знак Знак,Верхний колонтитул Знак1 Знак Знак,Верхний колонтитул Знак1 Знак Знак Знак Знак Знак,Верхний колонтитул Знак2 Знак Знак Знак Знак"/>
    <w:basedOn w:val="a0"/>
    <w:link w:val="a6"/>
    <w:rsid w:val="00E723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3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E7236B"/>
    <w:rPr>
      <w:rFonts w:eastAsia="Times New Roman"/>
      <w:lang w:bidi="ar-SA"/>
    </w:rPr>
  </w:style>
  <w:style w:type="paragraph" w:styleId="a4">
    <w:name w:val="Normal (Web)"/>
    <w:basedOn w:val="a"/>
    <w:uiPriority w:val="99"/>
    <w:rsid w:val="00E7236B"/>
    <w:pPr>
      <w:spacing w:after="240"/>
      <w:ind w:right="240"/>
    </w:pPr>
    <w:rPr>
      <w:rFonts w:eastAsia="SimSun, 宋体" w:cs="Times New Roman"/>
      <w:lang w:bidi="ar-SA"/>
    </w:rPr>
  </w:style>
  <w:style w:type="paragraph" w:styleId="a5">
    <w:name w:val="List Paragraph"/>
    <w:basedOn w:val="a"/>
    <w:uiPriority w:val="34"/>
    <w:qFormat/>
    <w:rsid w:val="00E7236B"/>
    <w:pPr>
      <w:widowControl/>
      <w:suppressAutoHyphens w:val="0"/>
      <w:autoSpaceDN/>
      <w:ind w:left="720"/>
      <w:contextualSpacing/>
      <w:textAlignment w:val="auto"/>
    </w:pPr>
    <w:rPr>
      <w:rFonts w:eastAsia="Times New Roman" w:cs="Times New Roman"/>
      <w:kern w:val="0"/>
      <w:lang w:eastAsia="ru-RU" w:bidi="ar-SA"/>
    </w:rPr>
  </w:style>
  <w:style w:type="paragraph" w:styleId="a6">
    <w:name w:val="header"/>
    <w:aliases w:val="Верхний колонтитул Знак Знак Знак,Верхний колонтитул Знак Знак Знак Знак Знак Знак,Верхний колонтитул Знак1 Знак,Верхний колонтитул Знак1 Знак Знак Знак Знак,Верхний колонтитул Знак2 Знак Знак Знак"/>
    <w:basedOn w:val="a"/>
    <w:link w:val="a7"/>
    <w:rsid w:val="00E7236B"/>
    <w:pPr>
      <w:widowControl/>
      <w:tabs>
        <w:tab w:val="center" w:pos="4677"/>
        <w:tab w:val="right" w:pos="9355"/>
      </w:tabs>
      <w:suppressAutoHyphens w:val="0"/>
      <w:autoSpaceDN/>
      <w:textAlignment w:val="auto"/>
    </w:pPr>
    <w:rPr>
      <w:rFonts w:eastAsia="Times New Roman" w:cs="Times New Roman"/>
      <w:kern w:val="0"/>
      <w:lang w:eastAsia="ru-RU" w:bidi="ar-SA"/>
    </w:rPr>
  </w:style>
  <w:style w:type="character" w:customStyle="1" w:styleId="a7">
    <w:name w:val="Верхний колонтитул Знак"/>
    <w:aliases w:val="Верхний колонтитул Знак Знак Знак Знак,Верхний колонтитул Знак Знак Знак Знак Знак Знак Знак,Верхний колонтитул Знак1 Знак Знак,Верхний колонтитул Знак1 Знак Знак Знак Знак Знак,Верхний колонтитул Знак2 Знак Знак Знак Знак"/>
    <w:basedOn w:val="a0"/>
    <w:link w:val="a6"/>
    <w:rsid w:val="00E723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Гвоздева</dc:creator>
  <cp:lastModifiedBy>Галина Гвоздева</cp:lastModifiedBy>
  <cp:revision>2</cp:revision>
  <dcterms:created xsi:type="dcterms:W3CDTF">2017-01-18T13:39:00Z</dcterms:created>
  <dcterms:modified xsi:type="dcterms:W3CDTF">2017-01-18T13:39:00Z</dcterms:modified>
</cp:coreProperties>
</file>