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CEEB1" w14:textId="77777777" w:rsidR="002D2D46" w:rsidRDefault="002D2D46" w:rsidP="002D2D46">
      <w:pPr>
        <w:widowControl w:val="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Pr="003A1428">
        <w:rPr>
          <w:b/>
        </w:rPr>
        <w:t>ТЕХНИЧЕСКОЕ ЗАДАНИЕ</w:t>
      </w:r>
    </w:p>
    <w:p w14:paraId="73EDFF1F" w14:textId="77777777" w:rsidR="002D2D46" w:rsidRPr="007F2D58" w:rsidRDefault="002D2D46" w:rsidP="002D2D46">
      <w:pPr>
        <w:shd w:val="clear" w:color="auto" w:fill="FFFFFF"/>
        <w:tabs>
          <w:tab w:val="left" w:pos="538"/>
        </w:tabs>
        <w:autoSpaceDE w:val="0"/>
        <w:ind w:firstLine="540"/>
        <w:jc w:val="both"/>
        <w:rPr>
          <w:sz w:val="20"/>
          <w:szCs w:val="20"/>
          <w:lang w:eastAsia="ar-SA"/>
        </w:rPr>
      </w:pPr>
    </w:p>
    <w:p w14:paraId="0C614E29" w14:textId="77777777" w:rsidR="002D2D46" w:rsidRPr="007F2D58" w:rsidRDefault="002D2D46" w:rsidP="002D2D46">
      <w:pPr>
        <w:autoSpaceDE w:val="0"/>
        <w:ind w:firstLine="567"/>
        <w:rPr>
          <w:b/>
          <w:lang w:eastAsia="ar-SA"/>
        </w:rPr>
      </w:pPr>
      <w:r w:rsidRPr="007F2D58">
        <w:rPr>
          <w:b/>
          <w:lang w:eastAsia="ar-SA"/>
        </w:rPr>
        <w:t>Требования к проектной сметной документации:</w:t>
      </w:r>
    </w:p>
    <w:p w14:paraId="0C004527" w14:textId="77777777" w:rsidR="002D2D46" w:rsidRPr="007F2D58" w:rsidRDefault="002D2D46" w:rsidP="002D2D46">
      <w:pPr>
        <w:tabs>
          <w:tab w:val="left" w:pos="0"/>
        </w:tabs>
        <w:autoSpaceDE w:val="0"/>
        <w:spacing w:after="6"/>
        <w:jc w:val="both"/>
        <w:rPr>
          <w:iCs/>
          <w:color w:val="000000"/>
          <w:lang w:eastAsia="ar-SA"/>
        </w:rPr>
      </w:pPr>
      <w:r w:rsidRPr="007F2D58">
        <w:rPr>
          <w:iCs/>
          <w:color w:val="000000"/>
          <w:lang w:eastAsia="ar-SA"/>
        </w:rPr>
        <w:t xml:space="preserve">       При создании проектной сметной документации, Исполнитель должен руководствоваться следующими нормативными документами:</w:t>
      </w:r>
    </w:p>
    <w:p w14:paraId="01699CDF" w14:textId="77777777" w:rsidR="002D2D46" w:rsidRPr="007F2D58" w:rsidRDefault="002D2D46" w:rsidP="002D2D46">
      <w:pPr>
        <w:widowControl w:val="0"/>
        <w:numPr>
          <w:ilvl w:val="0"/>
          <w:numId w:val="2"/>
        </w:numPr>
        <w:tabs>
          <w:tab w:val="left" w:pos="0"/>
          <w:tab w:val="left" w:pos="164"/>
        </w:tabs>
        <w:autoSpaceDE w:val="0"/>
        <w:spacing w:line="274" w:lineRule="exact"/>
        <w:ind w:left="20" w:right="240" w:firstLine="480"/>
        <w:jc w:val="both"/>
        <w:rPr>
          <w:shd w:val="clear" w:color="auto" w:fill="FFFFFF"/>
        </w:rPr>
      </w:pPr>
      <w:r w:rsidRPr="007F2D58">
        <w:rPr>
          <w:color w:val="000000"/>
          <w:shd w:val="clear" w:color="auto" w:fill="FFFFFF"/>
        </w:rPr>
        <w:t xml:space="preserve">Постановление Правительства РФ от 16 февраля 2008 г. </w:t>
      </w:r>
      <w:r w:rsidRPr="007F2D58">
        <w:rPr>
          <w:color w:val="000000"/>
          <w:shd w:val="clear" w:color="auto" w:fill="FFFFFF"/>
          <w:lang w:val="en-US"/>
        </w:rPr>
        <w:t>N</w:t>
      </w:r>
      <w:r w:rsidRPr="007F2D58">
        <w:rPr>
          <w:color w:val="000000"/>
          <w:shd w:val="clear" w:color="auto" w:fill="FFFFFF"/>
        </w:rPr>
        <w:t xml:space="preserve"> 87 «</w:t>
      </w:r>
      <w:r w:rsidRPr="007F2D58">
        <w:rPr>
          <w:shd w:val="clear" w:color="auto" w:fill="FFFFFF"/>
        </w:rPr>
        <w:t>О составе разделов проектной документации и требованиях к их содержанию» (с изменениями на 23 января 2016 года)</w:t>
      </w:r>
      <w:r w:rsidRPr="007F2D58">
        <w:rPr>
          <w:color w:val="000000"/>
          <w:shd w:val="clear" w:color="auto" w:fill="FFFFFF"/>
        </w:rPr>
        <w:t>;</w:t>
      </w:r>
    </w:p>
    <w:p w14:paraId="4BB3D73A" w14:textId="77777777" w:rsidR="002D2D46" w:rsidRPr="007F2D58" w:rsidRDefault="002D2D46" w:rsidP="002D2D46">
      <w:pPr>
        <w:widowControl w:val="0"/>
        <w:numPr>
          <w:ilvl w:val="0"/>
          <w:numId w:val="2"/>
        </w:numPr>
        <w:tabs>
          <w:tab w:val="left" w:pos="0"/>
          <w:tab w:val="left" w:pos="164"/>
        </w:tabs>
        <w:autoSpaceDE w:val="0"/>
        <w:spacing w:line="274" w:lineRule="exact"/>
        <w:ind w:left="20" w:right="1000" w:firstLine="480"/>
        <w:jc w:val="both"/>
        <w:rPr>
          <w:shd w:val="clear" w:color="auto" w:fill="FFFFFF"/>
        </w:rPr>
      </w:pPr>
      <w:r w:rsidRPr="007F2D58">
        <w:rPr>
          <w:color w:val="000000"/>
          <w:shd w:val="clear" w:color="auto" w:fill="FFFFFF"/>
        </w:rPr>
        <w:t>Федеральный закон от 30 декабря 2009 г №384-Ф3 «Технический регламент о безопасности зданий и сооружений».</w:t>
      </w:r>
    </w:p>
    <w:p w14:paraId="4D549919" w14:textId="77777777" w:rsidR="002D2D46" w:rsidRPr="007F2D58" w:rsidRDefault="002D2D46" w:rsidP="002D2D46">
      <w:pPr>
        <w:numPr>
          <w:ilvl w:val="0"/>
          <w:numId w:val="2"/>
        </w:numPr>
        <w:tabs>
          <w:tab w:val="left" w:pos="0"/>
        </w:tabs>
        <w:autoSpaceDE w:val="0"/>
        <w:ind w:firstLine="480"/>
        <w:jc w:val="both"/>
        <w:rPr>
          <w:lang w:eastAsia="ar-SA"/>
        </w:rPr>
      </w:pPr>
      <w:r w:rsidRPr="007F2D58">
        <w:rPr>
          <w:lang w:eastAsia="ar-SA"/>
        </w:rPr>
        <w:t>ГОСТ Р 21.1101-2013 «Система проектной документации для строительства (СПДС). Основные требования к проектной и рабочей документации».</w:t>
      </w:r>
    </w:p>
    <w:p w14:paraId="41822EE5" w14:textId="77777777" w:rsidR="002D2D46" w:rsidRPr="007F2D58" w:rsidRDefault="002D2D46" w:rsidP="002D2D46">
      <w:pPr>
        <w:widowControl w:val="0"/>
        <w:numPr>
          <w:ilvl w:val="0"/>
          <w:numId w:val="2"/>
        </w:numPr>
        <w:tabs>
          <w:tab w:val="left" w:pos="0"/>
          <w:tab w:val="left" w:pos="164"/>
        </w:tabs>
        <w:autoSpaceDE w:val="0"/>
        <w:spacing w:after="6" w:line="317" w:lineRule="exact"/>
        <w:ind w:left="20" w:right="240" w:firstLine="480"/>
        <w:jc w:val="both"/>
        <w:rPr>
          <w:iCs/>
          <w:color w:val="000000"/>
          <w:shd w:val="clear" w:color="auto" w:fill="FFFFFF"/>
        </w:rPr>
      </w:pPr>
      <w:r w:rsidRPr="007F2D58">
        <w:rPr>
          <w:shd w:val="clear" w:color="auto" w:fill="FFFFFF"/>
        </w:rPr>
        <w:t>СП 134.13330.2012 «Системы электросвязи» и</w:t>
      </w:r>
      <w:r w:rsidRPr="007F2D58">
        <w:rPr>
          <w:color w:val="000000"/>
          <w:shd w:val="clear" w:color="auto" w:fill="FFFFFF"/>
        </w:rPr>
        <w:t xml:space="preserve"> других действующих нормативных актов.</w:t>
      </w:r>
    </w:p>
    <w:p w14:paraId="3A4DE6BA" w14:textId="77777777" w:rsidR="002D2D46" w:rsidRPr="007F2D58" w:rsidRDefault="002D2D46" w:rsidP="002D2D46">
      <w:pPr>
        <w:autoSpaceDE w:val="0"/>
        <w:ind w:firstLine="567"/>
        <w:rPr>
          <w:lang w:eastAsia="ar-SA"/>
        </w:rPr>
      </w:pPr>
      <w:r w:rsidRPr="007F2D58">
        <w:rPr>
          <w:lang w:eastAsia="ar-SA"/>
        </w:rPr>
        <w:t>Проектная сметная документация должна содержать в своем составе:</w:t>
      </w:r>
    </w:p>
    <w:p w14:paraId="599937C0" w14:textId="77777777" w:rsidR="002D2D46" w:rsidRPr="007F2D58" w:rsidRDefault="002D2D46" w:rsidP="002D2D46">
      <w:pPr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jc w:val="both"/>
        <w:rPr>
          <w:lang w:eastAsia="ar-SA"/>
        </w:rPr>
      </w:pPr>
      <w:r w:rsidRPr="007F2D58">
        <w:rPr>
          <w:lang w:eastAsia="ar-SA"/>
        </w:rPr>
        <w:t>План схему расположения рабочих мест и кабельных трасс структурированной кабельной системы (далее – СКС) с обозначением уже существующих рабочих мест и кабельных трасс и вновь образуемых в рамках модернизации.</w:t>
      </w:r>
    </w:p>
    <w:p w14:paraId="65FC93D8" w14:textId="77777777" w:rsidR="002D2D46" w:rsidRPr="007F2D58" w:rsidRDefault="002D2D46" w:rsidP="002D2D46">
      <w:pPr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jc w:val="both"/>
        <w:rPr>
          <w:lang w:eastAsia="ar-SA"/>
        </w:rPr>
      </w:pPr>
      <w:r w:rsidRPr="007F2D58">
        <w:rPr>
          <w:lang w:eastAsia="ar-SA"/>
        </w:rPr>
        <w:t>Перечень работ, оборудования и материалов СКС необходимых для проведения ремонта или замены неисправного оборудования. Перечень неисправного оборудования Исполнитель должен определить совместно с представителем Заказчика в ходе оказания Услуг.</w:t>
      </w:r>
    </w:p>
    <w:p w14:paraId="25C0B02B" w14:textId="77777777" w:rsidR="002D2D46" w:rsidRPr="007F2D58" w:rsidRDefault="002D2D46" w:rsidP="002D2D46">
      <w:pPr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jc w:val="both"/>
        <w:rPr>
          <w:lang w:eastAsia="ar-SA"/>
        </w:rPr>
      </w:pPr>
      <w:r w:rsidRPr="007F2D58">
        <w:rPr>
          <w:lang w:eastAsia="ar-SA"/>
        </w:rPr>
        <w:t xml:space="preserve">Перечень работ, материалов и оборудования СКС необходимых для проведения модернизации СКС с целью увеличения портовой емкости локальной вычислительной сети на 15%.  </w:t>
      </w:r>
    </w:p>
    <w:p w14:paraId="6C332E45" w14:textId="77777777" w:rsidR="002D2D46" w:rsidRDefault="002D2D46" w:rsidP="002D2D46">
      <w:pPr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jc w:val="both"/>
        <w:rPr>
          <w:lang w:eastAsia="ar-SA"/>
        </w:rPr>
      </w:pPr>
      <w:r w:rsidRPr="007F2D58">
        <w:rPr>
          <w:lang w:eastAsia="ar-SA"/>
        </w:rPr>
        <w:t>В сметной документации в общей стоимости должны быть указаны стоимость ремонта СКС и модернизации СКС.</w:t>
      </w:r>
    </w:p>
    <w:p w14:paraId="0283064E" w14:textId="77777777" w:rsidR="002C4752" w:rsidRDefault="002C4752" w:rsidP="002C4752">
      <w:pPr>
        <w:shd w:val="clear" w:color="auto" w:fill="FFFFFF"/>
        <w:tabs>
          <w:tab w:val="left" w:pos="538"/>
        </w:tabs>
        <w:autoSpaceDE w:val="0"/>
        <w:jc w:val="both"/>
        <w:rPr>
          <w:lang w:eastAsia="ar-SA"/>
        </w:rPr>
      </w:pPr>
    </w:p>
    <w:p w14:paraId="77958DEA" w14:textId="77777777" w:rsidR="002C4752" w:rsidRDefault="002C4752" w:rsidP="002C4752">
      <w:pPr>
        <w:shd w:val="clear" w:color="auto" w:fill="FFFFFF"/>
        <w:ind w:firstLine="567"/>
        <w:jc w:val="both"/>
      </w:pPr>
      <w:r>
        <w:t xml:space="preserve"> </w:t>
      </w:r>
      <w:bookmarkStart w:id="0" w:name="_GoBack"/>
      <w:bookmarkEnd w:id="0"/>
      <w:r>
        <w:t>В состав проектно-сметной документации входят следующие документы:</w:t>
      </w:r>
    </w:p>
    <w:p w14:paraId="3F7230F6" w14:textId="77777777" w:rsidR="002C4752" w:rsidRDefault="002C4752" w:rsidP="002C4752">
      <w:pPr>
        <w:shd w:val="clear" w:color="auto" w:fill="FFFFFF"/>
        <w:ind w:firstLine="567"/>
        <w:jc w:val="both"/>
      </w:pPr>
      <w:r>
        <w:t>- Содержание;</w:t>
      </w:r>
    </w:p>
    <w:p w14:paraId="1ACD2DF4" w14:textId="77777777" w:rsidR="002C4752" w:rsidRDefault="002C4752" w:rsidP="002C4752">
      <w:pPr>
        <w:shd w:val="clear" w:color="auto" w:fill="FFFFFF"/>
        <w:ind w:firstLine="567"/>
        <w:jc w:val="both"/>
      </w:pPr>
      <w:r>
        <w:t>- Пояснительная записка;</w:t>
      </w:r>
    </w:p>
    <w:p w14:paraId="4C68A249" w14:textId="77777777" w:rsidR="002C4752" w:rsidRDefault="002C4752" w:rsidP="002C4752">
      <w:pPr>
        <w:shd w:val="clear" w:color="auto" w:fill="FFFFFF"/>
        <w:ind w:firstLine="567"/>
        <w:jc w:val="both"/>
      </w:pPr>
      <w:r>
        <w:t>- Основной комплект рабочих чертежей;</w:t>
      </w:r>
    </w:p>
    <w:p w14:paraId="6526B0A5" w14:textId="77777777" w:rsidR="002C4752" w:rsidRDefault="002C4752" w:rsidP="002C4752">
      <w:pPr>
        <w:shd w:val="clear" w:color="auto" w:fill="FFFFFF"/>
        <w:ind w:firstLine="567"/>
        <w:jc w:val="both"/>
      </w:pPr>
      <w:r>
        <w:t>- Структурная схема СКС;</w:t>
      </w:r>
    </w:p>
    <w:p w14:paraId="185399E3" w14:textId="77777777" w:rsidR="002C4752" w:rsidRDefault="002C4752" w:rsidP="002C4752">
      <w:pPr>
        <w:shd w:val="clear" w:color="auto" w:fill="FFFFFF"/>
        <w:ind w:firstLine="567"/>
        <w:jc w:val="both"/>
      </w:pPr>
      <w:r>
        <w:t>- План размещения рабочих мест и кабельных трасс СКС;</w:t>
      </w:r>
    </w:p>
    <w:p w14:paraId="5A435B2D" w14:textId="77777777" w:rsidR="002C4752" w:rsidRDefault="002C4752" w:rsidP="002C4752">
      <w:pPr>
        <w:shd w:val="clear" w:color="auto" w:fill="FFFFFF"/>
        <w:ind w:firstLine="567"/>
        <w:jc w:val="both"/>
      </w:pPr>
      <w:r>
        <w:t>- План узла коммутации;</w:t>
      </w:r>
    </w:p>
    <w:p w14:paraId="650DB2A6" w14:textId="77777777" w:rsidR="002C4752" w:rsidRDefault="002C4752" w:rsidP="002C4752">
      <w:pPr>
        <w:shd w:val="clear" w:color="auto" w:fill="FFFFFF"/>
        <w:ind w:firstLine="567"/>
        <w:jc w:val="both"/>
      </w:pPr>
      <w:r>
        <w:t>- Схема размещения оборудования в стойке;</w:t>
      </w:r>
    </w:p>
    <w:p w14:paraId="598B7A52" w14:textId="77777777" w:rsidR="002C4752" w:rsidRDefault="002C4752" w:rsidP="002C4752">
      <w:pPr>
        <w:shd w:val="clear" w:color="auto" w:fill="FFFFFF"/>
        <w:ind w:firstLine="567"/>
        <w:jc w:val="both"/>
      </w:pPr>
      <w:r>
        <w:t>- Таблица кабельных соединений;</w:t>
      </w:r>
    </w:p>
    <w:p w14:paraId="56E08AD5" w14:textId="77777777" w:rsidR="002C4752" w:rsidRDefault="002C4752" w:rsidP="002C4752">
      <w:pPr>
        <w:shd w:val="clear" w:color="auto" w:fill="FFFFFF"/>
        <w:ind w:firstLine="567"/>
        <w:jc w:val="both"/>
      </w:pPr>
      <w:r>
        <w:t>- Спецификация оборудования, изделий и материалов;</w:t>
      </w:r>
    </w:p>
    <w:p w14:paraId="7F3AEE8F" w14:textId="77777777" w:rsidR="002C4752" w:rsidRPr="007F2D58" w:rsidRDefault="002C4752" w:rsidP="002C4752">
      <w:pPr>
        <w:shd w:val="clear" w:color="auto" w:fill="FFFFFF"/>
        <w:tabs>
          <w:tab w:val="left" w:pos="538"/>
        </w:tabs>
        <w:autoSpaceDE w:val="0"/>
        <w:jc w:val="both"/>
        <w:rPr>
          <w:lang w:eastAsia="ar-SA"/>
        </w:rPr>
      </w:pPr>
    </w:p>
    <w:p w14:paraId="12DED458" w14:textId="77777777" w:rsidR="002D2D46" w:rsidRPr="007F2D58" w:rsidRDefault="002D2D46" w:rsidP="002D2D46">
      <w:pPr>
        <w:shd w:val="clear" w:color="auto" w:fill="FFFFFF"/>
        <w:tabs>
          <w:tab w:val="left" w:pos="538"/>
        </w:tabs>
        <w:autoSpaceDE w:val="0"/>
        <w:ind w:firstLine="540"/>
        <w:jc w:val="both"/>
        <w:rPr>
          <w:lang w:eastAsia="ar-SA"/>
        </w:rPr>
      </w:pPr>
    </w:p>
    <w:p w14:paraId="0984F922" w14:textId="77777777" w:rsidR="002D2D46" w:rsidRPr="007F2D58" w:rsidRDefault="002D2D46" w:rsidP="002D2D46">
      <w:pPr>
        <w:autoSpaceDE w:val="0"/>
        <w:jc w:val="center"/>
        <w:rPr>
          <w:b/>
          <w:lang w:eastAsia="ar-SA"/>
        </w:rPr>
      </w:pPr>
      <w:r w:rsidRPr="007F2D58">
        <w:rPr>
          <w:b/>
          <w:lang w:eastAsia="ar-SA"/>
        </w:rPr>
        <w:t xml:space="preserve">Технические требования  </w:t>
      </w:r>
    </w:p>
    <w:p w14:paraId="4D563391" w14:textId="77777777" w:rsidR="002D2D46" w:rsidRPr="007F2D58" w:rsidRDefault="002D2D46" w:rsidP="002D2D46">
      <w:pPr>
        <w:autoSpaceDE w:val="0"/>
        <w:ind w:firstLine="800"/>
        <w:rPr>
          <w:b/>
          <w:lang w:eastAsia="ar-SA"/>
        </w:rPr>
      </w:pPr>
      <w:r w:rsidRPr="007F2D58">
        <w:rPr>
          <w:b/>
          <w:lang w:eastAsia="ar-SA"/>
        </w:rPr>
        <w:t>1. Общие сведения.</w:t>
      </w:r>
      <w:bookmarkStart w:id="1" w:name="_Toc356803223"/>
    </w:p>
    <w:p w14:paraId="7F050D93" w14:textId="77777777" w:rsidR="002D2D46" w:rsidRPr="007F2D58" w:rsidRDefault="002D2D46" w:rsidP="002D2D46">
      <w:pPr>
        <w:autoSpaceDE w:val="0"/>
        <w:ind w:firstLine="800"/>
        <w:rPr>
          <w:b/>
          <w:lang w:eastAsia="ar-SA"/>
        </w:rPr>
      </w:pPr>
      <w:r w:rsidRPr="007F2D58">
        <w:rPr>
          <w:b/>
          <w:lang w:eastAsia="ar-SA"/>
        </w:rPr>
        <w:t>1.1. Характеристика объекта</w:t>
      </w:r>
      <w:bookmarkEnd w:id="1"/>
      <w:r w:rsidRPr="007F2D58">
        <w:rPr>
          <w:b/>
          <w:lang w:eastAsia="ar-SA"/>
        </w:rPr>
        <w:t>.</w:t>
      </w:r>
    </w:p>
    <w:p w14:paraId="7FE6C0AD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 xml:space="preserve">Настоящий документ определяет требования к созданию проекта ремонта и модернизации структурированной кабельной системе (далее СКС) локально-вычислительной сети в административном здании Государственного учреждения – Тюменского регионального отделения Фонда социального страхования Российской Федерации, расположенном по адресу: г. Тюмень, ул. </w:t>
      </w:r>
      <w:proofErr w:type="spellStart"/>
      <w:r w:rsidRPr="007F2D58">
        <w:rPr>
          <w:lang w:eastAsia="ar-SA"/>
        </w:rPr>
        <w:t>Ирбитская</w:t>
      </w:r>
      <w:proofErr w:type="spellEnd"/>
      <w:r w:rsidRPr="007F2D58">
        <w:rPr>
          <w:lang w:eastAsia="ar-SA"/>
        </w:rPr>
        <w:t>, д. 16.</w:t>
      </w:r>
    </w:p>
    <w:p w14:paraId="527AABDA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Данные об объекте, которые необходимо использовать при создании СКС, представлены в таблице № 1.</w:t>
      </w:r>
    </w:p>
    <w:p w14:paraId="471F9F8A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Таблица № 1. Характеристики объекта</w:t>
      </w: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666"/>
        <w:gridCol w:w="3298"/>
      </w:tblGrid>
      <w:tr w:rsidR="002D2D46" w:rsidRPr="007F2D58" w14:paraId="3C165EE8" w14:textId="77777777" w:rsidTr="00663DEF">
        <w:tc>
          <w:tcPr>
            <w:tcW w:w="600" w:type="dxa"/>
            <w:vAlign w:val="center"/>
          </w:tcPr>
          <w:p w14:paraId="233846B4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 xml:space="preserve">№ </w:t>
            </w:r>
            <w:r w:rsidRPr="007F2D58">
              <w:rPr>
                <w:lang w:eastAsia="ar-SA"/>
              </w:rPr>
              <w:lastRenderedPageBreak/>
              <w:t>п/п</w:t>
            </w:r>
          </w:p>
        </w:tc>
        <w:tc>
          <w:tcPr>
            <w:tcW w:w="5666" w:type="dxa"/>
            <w:vAlign w:val="center"/>
          </w:tcPr>
          <w:p w14:paraId="40FD2B80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lastRenderedPageBreak/>
              <w:t>Наименование</w:t>
            </w:r>
          </w:p>
        </w:tc>
        <w:tc>
          <w:tcPr>
            <w:tcW w:w="3298" w:type="dxa"/>
            <w:vAlign w:val="center"/>
          </w:tcPr>
          <w:p w14:paraId="4B7AAB9C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Данные</w:t>
            </w:r>
          </w:p>
        </w:tc>
      </w:tr>
      <w:tr w:rsidR="002D2D46" w:rsidRPr="007F2D58" w14:paraId="43B3AA37" w14:textId="77777777" w:rsidTr="00663DEF">
        <w:tc>
          <w:tcPr>
            <w:tcW w:w="600" w:type="dxa"/>
          </w:tcPr>
          <w:p w14:paraId="4143BEF3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lastRenderedPageBreak/>
              <w:t>1</w:t>
            </w:r>
          </w:p>
        </w:tc>
        <w:tc>
          <w:tcPr>
            <w:tcW w:w="5666" w:type="dxa"/>
          </w:tcPr>
          <w:p w14:paraId="5F0153DB" w14:textId="77777777" w:rsidR="002D2D46" w:rsidRPr="007F2D58" w:rsidRDefault="002D2D46" w:rsidP="00663DEF">
            <w:pPr>
              <w:autoSpaceDE w:val="0"/>
              <w:rPr>
                <w:lang w:eastAsia="ar-SA"/>
              </w:rPr>
            </w:pPr>
            <w:r w:rsidRPr="007F2D58">
              <w:rPr>
                <w:lang w:eastAsia="ar-SA"/>
              </w:rPr>
              <w:t>Количество этажей здания</w:t>
            </w:r>
          </w:p>
        </w:tc>
        <w:tc>
          <w:tcPr>
            <w:tcW w:w="3298" w:type="dxa"/>
          </w:tcPr>
          <w:p w14:paraId="50FAE1C2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4 + подвал</w:t>
            </w:r>
          </w:p>
        </w:tc>
      </w:tr>
      <w:tr w:rsidR="002D2D46" w:rsidRPr="007F2D58" w14:paraId="694B3941" w14:textId="77777777" w:rsidTr="00663DEF">
        <w:tc>
          <w:tcPr>
            <w:tcW w:w="600" w:type="dxa"/>
          </w:tcPr>
          <w:p w14:paraId="5E95D88B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2</w:t>
            </w:r>
          </w:p>
        </w:tc>
        <w:tc>
          <w:tcPr>
            <w:tcW w:w="5666" w:type="dxa"/>
          </w:tcPr>
          <w:p w14:paraId="35A14129" w14:textId="77777777" w:rsidR="002D2D46" w:rsidRPr="007F2D58" w:rsidRDefault="002D2D46" w:rsidP="00663DEF">
            <w:pPr>
              <w:autoSpaceDE w:val="0"/>
              <w:rPr>
                <w:lang w:eastAsia="ar-SA"/>
              </w:rPr>
            </w:pPr>
            <w:r w:rsidRPr="007F2D58">
              <w:rPr>
                <w:lang w:eastAsia="ar-SA"/>
              </w:rPr>
              <w:t>Количество занимаемых этажей</w:t>
            </w:r>
          </w:p>
        </w:tc>
        <w:tc>
          <w:tcPr>
            <w:tcW w:w="3298" w:type="dxa"/>
          </w:tcPr>
          <w:p w14:paraId="064D949F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4 + подвал</w:t>
            </w:r>
          </w:p>
        </w:tc>
      </w:tr>
      <w:tr w:rsidR="002D2D46" w:rsidRPr="007F2D58" w14:paraId="69685DF0" w14:textId="77777777" w:rsidTr="00663DEF">
        <w:tc>
          <w:tcPr>
            <w:tcW w:w="600" w:type="dxa"/>
          </w:tcPr>
          <w:p w14:paraId="05E053E0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3</w:t>
            </w:r>
          </w:p>
        </w:tc>
        <w:tc>
          <w:tcPr>
            <w:tcW w:w="5666" w:type="dxa"/>
          </w:tcPr>
          <w:p w14:paraId="09FE6303" w14:textId="77777777" w:rsidR="002D2D46" w:rsidRPr="007F2D58" w:rsidRDefault="002D2D46" w:rsidP="00663DEF">
            <w:pPr>
              <w:autoSpaceDE w:val="0"/>
              <w:rPr>
                <w:lang w:eastAsia="ar-SA"/>
              </w:rPr>
            </w:pPr>
            <w:r w:rsidRPr="007F2D58">
              <w:rPr>
                <w:lang w:eastAsia="ar-SA"/>
              </w:rPr>
              <w:t xml:space="preserve">Общая площадь здания </w:t>
            </w:r>
          </w:p>
        </w:tc>
        <w:tc>
          <w:tcPr>
            <w:tcW w:w="3298" w:type="dxa"/>
          </w:tcPr>
          <w:p w14:paraId="7F292B20" w14:textId="77777777" w:rsidR="002D2D46" w:rsidRPr="007F2D58" w:rsidRDefault="002D2D46" w:rsidP="00663DEF">
            <w:pPr>
              <w:autoSpaceDE w:val="0"/>
              <w:jc w:val="both"/>
              <w:rPr>
                <w:highlight w:val="red"/>
                <w:lang w:eastAsia="ar-SA"/>
              </w:rPr>
            </w:pPr>
            <w:r w:rsidRPr="007F2D58">
              <w:rPr>
                <w:lang w:eastAsia="ar-SA"/>
              </w:rPr>
              <w:t>2709,8 м2</w:t>
            </w:r>
          </w:p>
        </w:tc>
      </w:tr>
      <w:tr w:rsidR="002D2D46" w:rsidRPr="007F2D58" w14:paraId="654A6E96" w14:textId="77777777" w:rsidTr="00663DEF">
        <w:tc>
          <w:tcPr>
            <w:tcW w:w="600" w:type="dxa"/>
          </w:tcPr>
          <w:p w14:paraId="63E8AF01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4</w:t>
            </w:r>
          </w:p>
        </w:tc>
        <w:tc>
          <w:tcPr>
            <w:tcW w:w="5666" w:type="dxa"/>
          </w:tcPr>
          <w:p w14:paraId="708EAC00" w14:textId="77777777" w:rsidR="002D2D46" w:rsidRPr="007F2D58" w:rsidRDefault="002D2D46" w:rsidP="00663DEF">
            <w:pPr>
              <w:autoSpaceDE w:val="0"/>
              <w:rPr>
                <w:lang w:eastAsia="ar-SA"/>
              </w:rPr>
            </w:pPr>
            <w:r w:rsidRPr="007F2D58">
              <w:rPr>
                <w:lang w:eastAsia="ar-SA"/>
              </w:rPr>
              <w:t>Длина</w:t>
            </w:r>
          </w:p>
        </w:tc>
        <w:tc>
          <w:tcPr>
            <w:tcW w:w="3298" w:type="dxa"/>
          </w:tcPr>
          <w:p w14:paraId="2C6978C2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40,8 м</w:t>
            </w:r>
          </w:p>
        </w:tc>
      </w:tr>
      <w:tr w:rsidR="002D2D46" w:rsidRPr="007F2D58" w14:paraId="15D5D2B1" w14:textId="77777777" w:rsidTr="00663DEF">
        <w:tc>
          <w:tcPr>
            <w:tcW w:w="600" w:type="dxa"/>
          </w:tcPr>
          <w:p w14:paraId="73814E99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5</w:t>
            </w:r>
          </w:p>
        </w:tc>
        <w:tc>
          <w:tcPr>
            <w:tcW w:w="5666" w:type="dxa"/>
          </w:tcPr>
          <w:p w14:paraId="42B1492E" w14:textId="77777777" w:rsidR="002D2D46" w:rsidRPr="007F2D58" w:rsidRDefault="002D2D46" w:rsidP="00663DEF">
            <w:pPr>
              <w:autoSpaceDE w:val="0"/>
              <w:rPr>
                <w:lang w:eastAsia="ar-SA"/>
              </w:rPr>
            </w:pPr>
            <w:r w:rsidRPr="007F2D58">
              <w:rPr>
                <w:lang w:eastAsia="ar-SA"/>
              </w:rPr>
              <w:t>Ширина</w:t>
            </w:r>
          </w:p>
        </w:tc>
        <w:tc>
          <w:tcPr>
            <w:tcW w:w="3298" w:type="dxa"/>
          </w:tcPr>
          <w:p w14:paraId="26513E75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16,10 м</w:t>
            </w:r>
          </w:p>
        </w:tc>
      </w:tr>
      <w:tr w:rsidR="002D2D46" w:rsidRPr="007F2D58" w14:paraId="7FDF44F9" w14:textId="77777777" w:rsidTr="00663DEF">
        <w:tc>
          <w:tcPr>
            <w:tcW w:w="600" w:type="dxa"/>
          </w:tcPr>
          <w:p w14:paraId="47008F04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6</w:t>
            </w:r>
          </w:p>
        </w:tc>
        <w:tc>
          <w:tcPr>
            <w:tcW w:w="5666" w:type="dxa"/>
          </w:tcPr>
          <w:p w14:paraId="7B7B6790" w14:textId="77777777" w:rsidR="002D2D46" w:rsidRPr="007F2D58" w:rsidRDefault="002D2D46" w:rsidP="00663DEF">
            <w:pPr>
              <w:autoSpaceDE w:val="0"/>
              <w:rPr>
                <w:lang w:eastAsia="ar-SA"/>
              </w:rPr>
            </w:pPr>
            <w:r w:rsidRPr="007F2D58">
              <w:rPr>
                <w:lang w:eastAsia="ar-SA"/>
              </w:rPr>
              <w:t>Высота</w:t>
            </w:r>
          </w:p>
        </w:tc>
        <w:tc>
          <w:tcPr>
            <w:tcW w:w="3298" w:type="dxa"/>
          </w:tcPr>
          <w:p w14:paraId="4840FAB8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19,95 м</w:t>
            </w:r>
          </w:p>
        </w:tc>
      </w:tr>
      <w:tr w:rsidR="002D2D46" w:rsidRPr="007F2D58" w14:paraId="7682637E" w14:textId="77777777" w:rsidTr="00663DEF">
        <w:tc>
          <w:tcPr>
            <w:tcW w:w="600" w:type="dxa"/>
          </w:tcPr>
          <w:p w14:paraId="33660662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7</w:t>
            </w:r>
          </w:p>
        </w:tc>
        <w:tc>
          <w:tcPr>
            <w:tcW w:w="5666" w:type="dxa"/>
          </w:tcPr>
          <w:p w14:paraId="6C0FB63D" w14:textId="77777777" w:rsidR="002D2D46" w:rsidRPr="007F2D58" w:rsidRDefault="002D2D46" w:rsidP="00663DEF">
            <w:pPr>
              <w:autoSpaceDE w:val="0"/>
              <w:rPr>
                <w:lang w:eastAsia="ar-SA"/>
              </w:rPr>
            </w:pPr>
            <w:r w:rsidRPr="007F2D58">
              <w:rPr>
                <w:lang w:eastAsia="ar-SA"/>
              </w:rPr>
              <w:t xml:space="preserve">Наличие </w:t>
            </w:r>
            <w:proofErr w:type="spellStart"/>
            <w:r w:rsidRPr="007F2D58">
              <w:rPr>
                <w:lang w:eastAsia="ar-SA"/>
              </w:rPr>
              <w:t>фальшпотолков</w:t>
            </w:r>
            <w:proofErr w:type="spellEnd"/>
            <w:r w:rsidRPr="007F2D58">
              <w:rPr>
                <w:lang w:eastAsia="ar-SA"/>
              </w:rPr>
              <w:t xml:space="preserve"> в коридорах и помещениях здания</w:t>
            </w:r>
          </w:p>
        </w:tc>
        <w:tc>
          <w:tcPr>
            <w:tcW w:w="3298" w:type="dxa"/>
          </w:tcPr>
          <w:p w14:paraId="31CF3DCB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Есть</w:t>
            </w:r>
          </w:p>
        </w:tc>
      </w:tr>
      <w:tr w:rsidR="002D2D46" w:rsidRPr="007F2D58" w14:paraId="109F5956" w14:textId="77777777" w:rsidTr="00663DEF">
        <w:tc>
          <w:tcPr>
            <w:tcW w:w="600" w:type="dxa"/>
          </w:tcPr>
          <w:p w14:paraId="032FD54F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8</w:t>
            </w:r>
          </w:p>
        </w:tc>
        <w:tc>
          <w:tcPr>
            <w:tcW w:w="5666" w:type="dxa"/>
          </w:tcPr>
          <w:p w14:paraId="5D16E6FA" w14:textId="77777777" w:rsidR="002D2D46" w:rsidRPr="007F2D58" w:rsidRDefault="002D2D46" w:rsidP="00663DEF">
            <w:pPr>
              <w:autoSpaceDE w:val="0"/>
              <w:rPr>
                <w:lang w:eastAsia="ar-SA"/>
              </w:rPr>
            </w:pPr>
            <w:r w:rsidRPr="007F2D58">
              <w:rPr>
                <w:lang w:eastAsia="ar-SA"/>
              </w:rPr>
              <w:t xml:space="preserve">Наличие и расположение кроссовой комнаты здания, этажных кроссовых комнат, помещения кабельного ввода </w:t>
            </w:r>
          </w:p>
        </w:tc>
        <w:tc>
          <w:tcPr>
            <w:tcW w:w="3298" w:type="dxa"/>
          </w:tcPr>
          <w:p w14:paraId="52A7F643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Есть</w:t>
            </w:r>
          </w:p>
        </w:tc>
      </w:tr>
      <w:tr w:rsidR="002D2D46" w:rsidRPr="007F2D58" w14:paraId="72DDCD45" w14:textId="77777777" w:rsidTr="00663DEF">
        <w:tc>
          <w:tcPr>
            <w:tcW w:w="600" w:type="dxa"/>
          </w:tcPr>
          <w:p w14:paraId="4C32E86C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9</w:t>
            </w:r>
          </w:p>
        </w:tc>
        <w:tc>
          <w:tcPr>
            <w:tcW w:w="5666" w:type="dxa"/>
          </w:tcPr>
          <w:p w14:paraId="580B4934" w14:textId="77777777" w:rsidR="002D2D46" w:rsidRPr="007F2D58" w:rsidRDefault="002D2D46" w:rsidP="00663DEF">
            <w:pPr>
              <w:autoSpaceDE w:val="0"/>
              <w:rPr>
                <w:lang w:eastAsia="ar-SA"/>
              </w:rPr>
            </w:pPr>
            <w:r w:rsidRPr="007F2D58">
              <w:rPr>
                <w:lang w:eastAsia="ar-SA"/>
              </w:rPr>
              <w:t>Наличие и расположение вертикальных каналов и их емкость (возможность прокладки в существующие каналы, их свободная емкость)</w:t>
            </w:r>
          </w:p>
        </w:tc>
        <w:tc>
          <w:tcPr>
            <w:tcW w:w="3298" w:type="dxa"/>
          </w:tcPr>
          <w:p w14:paraId="44044527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Есть</w:t>
            </w:r>
          </w:p>
        </w:tc>
      </w:tr>
      <w:tr w:rsidR="002D2D46" w:rsidRPr="007F2D58" w14:paraId="2C6FFCC6" w14:textId="77777777" w:rsidTr="00663DEF">
        <w:tc>
          <w:tcPr>
            <w:tcW w:w="600" w:type="dxa"/>
          </w:tcPr>
          <w:p w14:paraId="4218C3AE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10</w:t>
            </w:r>
          </w:p>
        </w:tc>
        <w:tc>
          <w:tcPr>
            <w:tcW w:w="5666" w:type="dxa"/>
          </w:tcPr>
          <w:p w14:paraId="4B17CE8A" w14:textId="77777777" w:rsidR="002D2D46" w:rsidRPr="007F2D58" w:rsidRDefault="002D2D46" w:rsidP="00663DEF">
            <w:pPr>
              <w:autoSpaceDE w:val="0"/>
              <w:rPr>
                <w:lang w:eastAsia="ar-SA"/>
              </w:rPr>
            </w:pPr>
            <w:r w:rsidRPr="007F2D58">
              <w:rPr>
                <w:lang w:eastAsia="ar-SA"/>
              </w:rPr>
              <w:t>Наличие и возможность использования существующих этажных кабельных каналов (лотки, короба, закладные), их свободная емкость</w:t>
            </w:r>
          </w:p>
        </w:tc>
        <w:tc>
          <w:tcPr>
            <w:tcW w:w="3298" w:type="dxa"/>
          </w:tcPr>
          <w:p w14:paraId="6B5B6649" w14:textId="77777777" w:rsidR="002D2D46" w:rsidRPr="007F2D58" w:rsidRDefault="002D2D46" w:rsidP="00663DEF">
            <w:pPr>
              <w:autoSpaceDE w:val="0"/>
              <w:jc w:val="both"/>
              <w:rPr>
                <w:lang w:eastAsia="ar-SA"/>
              </w:rPr>
            </w:pPr>
            <w:r w:rsidRPr="007F2D58">
              <w:rPr>
                <w:lang w:eastAsia="ar-SA"/>
              </w:rPr>
              <w:t>Есть</w:t>
            </w:r>
          </w:p>
        </w:tc>
      </w:tr>
    </w:tbl>
    <w:p w14:paraId="5F411451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В проекте модернизации СКС необходимо предусмотреть интеграцию оборудования телефонной АТС, каналов связи, серверного оборудования и пользовательского оборудования.</w:t>
      </w:r>
    </w:p>
    <w:p w14:paraId="5EB53FD7" w14:textId="77777777" w:rsidR="002D2D46" w:rsidRPr="007F2D58" w:rsidRDefault="002D2D46" w:rsidP="002D2D46">
      <w:pPr>
        <w:autoSpaceDE w:val="0"/>
        <w:ind w:firstLine="800"/>
        <w:jc w:val="both"/>
        <w:rPr>
          <w:b/>
          <w:lang w:eastAsia="ar-SA"/>
        </w:rPr>
      </w:pPr>
      <w:bookmarkStart w:id="2" w:name="_Toc264467783"/>
      <w:bookmarkStart w:id="3" w:name="_Toc443731839"/>
      <w:r w:rsidRPr="007F2D58">
        <w:rPr>
          <w:b/>
          <w:lang w:eastAsia="ar-SA"/>
        </w:rPr>
        <w:t>1.2. Назначение и цели создания системы</w:t>
      </w:r>
      <w:bookmarkEnd w:id="2"/>
    </w:p>
    <w:p w14:paraId="6A5F01D4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bookmarkStart w:id="4" w:name="_Toc203294427"/>
      <w:r w:rsidRPr="007F2D58">
        <w:rPr>
          <w:lang w:eastAsia="ar-SA"/>
        </w:rPr>
        <w:t>Главным назначением СКС является создание общего «кабельного пространства» и элементов коммутации для построения инфраструктуры информационной системы здания, предоставляющей пользователям возможность обмена данными аналоговых и цифровых телекоммуникационных приложений.</w:t>
      </w:r>
      <w:bookmarkEnd w:id="4"/>
    </w:p>
    <w:p w14:paraId="59D62357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Целью создания СКС является обеспечение взаимосвязи всех инфраструктурных подразделений между собой для обмена данными аналоговых и цифровых телекоммуникационных приложений в пределах офисных помещений Государственного учреждения – Тюменского регионального отделения Фонда социального страхования Российской Федерации.</w:t>
      </w:r>
    </w:p>
    <w:p w14:paraId="0716AE14" w14:textId="77777777" w:rsidR="002D2D46" w:rsidRPr="007F2D58" w:rsidRDefault="002D2D46" w:rsidP="002D2D46">
      <w:pPr>
        <w:autoSpaceDE w:val="0"/>
        <w:ind w:firstLine="800"/>
        <w:jc w:val="both"/>
        <w:rPr>
          <w:b/>
          <w:lang w:eastAsia="ar-SA"/>
        </w:rPr>
      </w:pPr>
      <w:bookmarkStart w:id="5" w:name="_Toc264467784"/>
      <w:r w:rsidRPr="007F2D58">
        <w:rPr>
          <w:b/>
          <w:lang w:eastAsia="ar-SA"/>
        </w:rPr>
        <w:t>2. Общие требования</w:t>
      </w:r>
      <w:bookmarkEnd w:id="5"/>
      <w:r w:rsidRPr="007F2D58">
        <w:rPr>
          <w:b/>
          <w:lang w:eastAsia="ar-SA"/>
        </w:rPr>
        <w:t xml:space="preserve"> к проекту ремонта и модернизации СКС (проектная документация должна соответствовать перечисленным ниже требованиям)</w:t>
      </w:r>
    </w:p>
    <w:p w14:paraId="0C20F735" w14:textId="77777777" w:rsidR="002D2D46" w:rsidRPr="007F2D58" w:rsidRDefault="002D2D46" w:rsidP="002D2D46">
      <w:pPr>
        <w:autoSpaceDE w:val="0"/>
        <w:ind w:firstLine="800"/>
        <w:jc w:val="both"/>
        <w:rPr>
          <w:b/>
          <w:lang w:eastAsia="ar-SA"/>
        </w:rPr>
      </w:pPr>
      <w:bookmarkStart w:id="6" w:name="_Toc264467787"/>
      <w:r w:rsidRPr="007F2D58">
        <w:rPr>
          <w:b/>
          <w:lang w:eastAsia="ar-SA"/>
        </w:rPr>
        <w:t>2.1.</w:t>
      </w:r>
      <w:bookmarkStart w:id="7" w:name="_Toc248142095"/>
      <w:r w:rsidRPr="007F2D58">
        <w:rPr>
          <w:b/>
          <w:lang w:eastAsia="ar-SA"/>
        </w:rPr>
        <w:t> Общие принципы построения СКС</w:t>
      </w:r>
      <w:bookmarkEnd w:id="7"/>
    </w:p>
    <w:p w14:paraId="67B859BC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СКС должна быть выполнена в соответствии с международным стандартом ISO/IEC 11801 на кабельные системы и должна состоять из горизонтальной и вертикальной системы.</w:t>
      </w:r>
    </w:p>
    <w:p w14:paraId="265764F4" w14:textId="77777777" w:rsidR="002D2D46" w:rsidRPr="007F2D58" w:rsidRDefault="002D2D46" w:rsidP="002D2D46">
      <w:pPr>
        <w:autoSpaceDE w:val="0"/>
        <w:ind w:firstLine="800"/>
        <w:jc w:val="both"/>
        <w:rPr>
          <w:b/>
          <w:lang w:eastAsia="ar-SA"/>
        </w:rPr>
      </w:pPr>
      <w:r w:rsidRPr="007F2D58">
        <w:rPr>
          <w:b/>
          <w:lang w:eastAsia="ar-SA"/>
        </w:rPr>
        <w:t xml:space="preserve">3. Общие требования к </w:t>
      </w:r>
      <w:bookmarkEnd w:id="6"/>
      <w:r w:rsidRPr="007F2D58">
        <w:rPr>
          <w:b/>
          <w:lang w:eastAsia="ar-SA"/>
        </w:rPr>
        <w:t>СКС</w:t>
      </w:r>
    </w:p>
    <w:p w14:paraId="01C8AE73" w14:textId="77777777" w:rsidR="002D2D46" w:rsidRPr="007F2D58" w:rsidRDefault="002D2D46" w:rsidP="002D2D46">
      <w:pPr>
        <w:autoSpaceDE w:val="0"/>
        <w:ind w:firstLine="800"/>
        <w:jc w:val="both"/>
        <w:rPr>
          <w:b/>
          <w:lang w:eastAsia="ar-SA"/>
        </w:rPr>
      </w:pPr>
      <w:bookmarkStart w:id="8" w:name="_Toc264467788"/>
      <w:r w:rsidRPr="007F2D58">
        <w:rPr>
          <w:b/>
          <w:lang w:eastAsia="ar-SA"/>
        </w:rPr>
        <w:t xml:space="preserve">3.1. Общие принципы создания </w:t>
      </w:r>
      <w:bookmarkEnd w:id="8"/>
      <w:r w:rsidRPr="007F2D58">
        <w:rPr>
          <w:b/>
          <w:lang w:eastAsia="ar-SA"/>
        </w:rPr>
        <w:t>СКС</w:t>
      </w:r>
    </w:p>
    <w:p w14:paraId="0AD92209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bookmarkStart w:id="9" w:name="_Toc203294438"/>
      <w:r w:rsidRPr="007F2D58">
        <w:rPr>
          <w:lang w:eastAsia="ar-SA"/>
        </w:rPr>
        <w:t>В основе построения СКС должна быть заложена топология «иерархическая звезда» к строительной геометрии административного здания и ее организации независимо от типа и количества подключаемого активного оборудования для различных приложений и абонентского оборудования.</w:t>
      </w:r>
      <w:bookmarkEnd w:id="9"/>
    </w:p>
    <w:p w14:paraId="46FB65D9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СКС должна включать в себя и строиться на основе следующих элементов:</w:t>
      </w:r>
    </w:p>
    <w:p w14:paraId="357F179B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- подсистема рабочего места;</w:t>
      </w:r>
    </w:p>
    <w:p w14:paraId="67B9616F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- горизонтальная подсистема этажа и межэтажные переходы;</w:t>
      </w:r>
    </w:p>
    <w:p w14:paraId="4DDBCE25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- административная подсистема.</w:t>
      </w:r>
    </w:p>
    <w:p w14:paraId="04802DB9" w14:textId="77777777" w:rsidR="002D2D46" w:rsidRPr="007F2D58" w:rsidRDefault="002D2D46" w:rsidP="002D2D46">
      <w:pPr>
        <w:autoSpaceDE w:val="0"/>
        <w:ind w:firstLine="800"/>
        <w:jc w:val="both"/>
        <w:rPr>
          <w:b/>
          <w:lang w:eastAsia="ar-SA"/>
        </w:rPr>
      </w:pPr>
      <w:bookmarkStart w:id="10" w:name="_Toc264467789"/>
      <w:r w:rsidRPr="007F2D58">
        <w:rPr>
          <w:b/>
          <w:lang w:eastAsia="ar-SA"/>
        </w:rPr>
        <w:t xml:space="preserve">3.2. Требования к подсистеме рабочего места </w:t>
      </w:r>
      <w:bookmarkEnd w:id="10"/>
      <w:r w:rsidRPr="007F2D58">
        <w:rPr>
          <w:b/>
          <w:lang w:eastAsia="ar-SA"/>
        </w:rPr>
        <w:t>СКС</w:t>
      </w:r>
    </w:p>
    <w:p w14:paraId="4466C23C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Подсистема рабочего места предназначена для подключения конечных потребителей (компьютеров, терминалов, принтеров, телефонов и т. д.) к СКС. Включает в себя коммутационные шнуры, адаптеры, а также устройства, позволяющие подключать оконечное оборудование к сети через информационную розетку.</w:t>
      </w:r>
    </w:p>
    <w:p w14:paraId="35366232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На рабочих местах пользователей должны быть установлены информационные розетки СКС с неэкранированными модульными разъемами категории не ниже 6.</w:t>
      </w:r>
    </w:p>
    <w:p w14:paraId="0261EF4F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Количество разъемов для подключения оргтехники на отдельных рабочих местах должны быть указаны в проектной документации.</w:t>
      </w:r>
    </w:p>
    <w:p w14:paraId="022666B2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Размещение рабочих мест СКС и способ установки комплектов розеток (в кабельный канал, на стену, в стену и т.д.) должны быть указаны в проектной документации.</w:t>
      </w:r>
    </w:p>
    <w:p w14:paraId="163E689A" w14:textId="77777777" w:rsidR="002D2D46" w:rsidRPr="007F2D58" w:rsidRDefault="002D2D46" w:rsidP="002D2D46">
      <w:pPr>
        <w:autoSpaceDE w:val="0"/>
        <w:ind w:firstLine="800"/>
        <w:jc w:val="both"/>
        <w:rPr>
          <w:b/>
          <w:lang w:eastAsia="ar-SA"/>
        </w:rPr>
      </w:pPr>
      <w:bookmarkStart w:id="11" w:name="_Toc264467790"/>
      <w:r w:rsidRPr="007F2D58">
        <w:rPr>
          <w:b/>
          <w:lang w:eastAsia="ar-SA"/>
        </w:rPr>
        <w:t>3.3. Требования к горизонтальной подсистеме этажа</w:t>
      </w:r>
      <w:bookmarkEnd w:id="11"/>
    </w:p>
    <w:p w14:paraId="733F8D51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 xml:space="preserve">Горизонтальная подсистема покрывает расстояние между информационной розеткой на рабочем месте и горизонтальным кроссом в телекоммуникационном шкафу помещения серверной комнаты. Она состоит из горизонтальных кабелей, информационных розеток и части горизонтального кросса, которая обслуживает горизонтальный кабель. </w:t>
      </w:r>
    </w:p>
    <w:p w14:paraId="681D498A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Горизонтальная подсистема должна быть выполнена с использованием 4-парного кабеля «неэкранированная витая пара» 100 Ом категория не ниже 6. Оболочка кабеля должна быть типа LSZH. На коммутационном поле в технических помещениях полях должна быть обеспечена возможность взаимного переключения розеток СКС и розеток системы телефонной связи.</w:t>
      </w:r>
    </w:p>
    <w:p w14:paraId="469B1729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В качестве коммутационного оборудования для симметричных кабелей горизонтальной подсистемы должны быть использованы 19-дюймовые 24-портовые коммутационные панели с разъемами категории не ниже 6. Коммутационные панели должны иметь встроенную кабельную поддержку, зажимы заземления по стандарту VDE.</w:t>
      </w:r>
    </w:p>
    <w:p w14:paraId="46D46C8A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 xml:space="preserve">Все кабели разводятся в помещении серверной комнаты (3 этаж здания) на </w:t>
      </w:r>
      <w:proofErr w:type="spellStart"/>
      <w:r w:rsidRPr="007F2D58">
        <w:rPr>
          <w:lang w:eastAsia="ar-SA"/>
        </w:rPr>
        <w:t>патч</w:t>
      </w:r>
      <w:proofErr w:type="spellEnd"/>
      <w:r w:rsidRPr="007F2D58">
        <w:rPr>
          <w:lang w:eastAsia="ar-SA"/>
        </w:rPr>
        <w:t xml:space="preserve">-панели, устанавливаемые в 19” монтажные шкафы. </w:t>
      </w:r>
    </w:p>
    <w:p w14:paraId="5E54D282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На кабель должен быть представлен российский сертификат пожарной безопасности, зарегистрированный в Государственном реестре Системы сертификации в области пожарной безопасности.</w:t>
      </w:r>
    </w:p>
    <w:p w14:paraId="771CA009" w14:textId="77777777" w:rsidR="002D2D46" w:rsidRPr="007F2D58" w:rsidRDefault="002D2D46" w:rsidP="002D2D46">
      <w:pPr>
        <w:autoSpaceDE w:val="0"/>
        <w:ind w:firstLine="800"/>
        <w:jc w:val="both"/>
        <w:rPr>
          <w:rFonts w:eastAsia="SimSun"/>
          <w:lang w:eastAsia="ar-SA"/>
        </w:rPr>
      </w:pPr>
      <w:r w:rsidRPr="007F2D58">
        <w:rPr>
          <w:lang w:eastAsia="ar-SA"/>
        </w:rPr>
        <w:t xml:space="preserve">Горизонтальная подсистема должна иметь топологическую конфигурацию "звезда". Максимальная протяженность любого горизонтального кабельного сегмента не должна превышать 90м. </w:t>
      </w:r>
      <w:r w:rsidRPr="007F2D58">
        <w:rPr>
          <w:rFonts w:eastAsia="SimSun"/>
          <w:lang w:eastAsia="ar-SA"/>
        </w:rPr>
        <w:t xml:space="preserve">При этом между оконечными точками кабеля не должно быть никаких промежуточных соединений (спайка, скрутка и т.д.). Указанные расстояния должны быть закреплены тестированием СКС с выдачей отчета для Заказчика специализированным кабельным анализатором типа </w:t>
      </w:r>
      <w:proofErr w:type="spellStart"/>
      <w:r w:rsidRPr="007F2D58">
        <w:rPr>
          <w:rFonts w:eastAsia="SimSun"/>
          <w:lang w:eastAsia="ar-SA"/>
        </w:rPr>
        <w:t>Fluke</w:t>
      </w:r>
      <w:proofErr w:type="spellEnd"/>
      <w:r w:rsidRPr="007F2D58">
        <w:rPr>
          <w:rFonts w:eastAsia="SimSun"/>
          <w:lang w:eastAsia="ar-SA"/>
        </w:rPr>
        <w:t xml:space="preserve"> DTX-1800 или эквивалентом, прошедшим проверку и получившим одобрение производителя СКС на возможность тестирования.</w:t>
      </w:r>
    </w:p>
    <w:p w14:paraId="20347F2B" w14:textId="77777777" w:rsidR="002D2D46" w:rsidRPr="007F2D58" w:rsidRDefault="002D2D46" w:rsidP="002D2D46">
      <w:pPr>
        <w:autoSpaceDE w:val="0"/>
        <w:ind w:firstLine="800"/>
        <w:jc w:val="both"/>
        <w:rPr>
          <w:rFonts w:eastAsia="SimSun"/>
          <w:lang w:eastAsia="ar-SA"/>
        </w:rPr>
      </w:pPr>
      <w:r w:rsidRPr="007F2D58">
        <w:rPr>
          <w:rFonts w:eastAsia="SimSun"/>
          <w:lang w:eastAsia="ar-SA"/>
        </w:rPr>
        <w:t>Горизонтальная кабельная система должна иметь достаточную полосу пропускания для обеспечения скорости передачи информации не менее 1000 Мбит/с.</w:t>
      </w:r>
    </w:p>
    <w:p w14:paraId="18FF5EE1" w14:textId="77777777" w:rsidR="002D2D46" w:rsidRPr="007F2D58" w:rsidRDefault="002D2D46" w:rsidP="002D2D46">
      <w:pPr>
        <w:autoSpaceDE w:val="0"/>
        <w:ind w:firstLine="800"/>
        <w:jc w:val="both"/>
        <w:rPr>
          <w:rFonts w:eastAsia="SimSun"/>
          <w:lang w:eastAsia="ar-SA"/>
        </w:rPr>
      </w:pPr>
      <w:r w:rsidRPr="007F2D58">
        <w:rPr>
          <w:rFonts w:eastAsia="SimSun"/>
          <w:lang w:eastAsia="ar-SA"/>
        </w:rPr>
        <w:t>Горизонтальные кабельные линии СКС должны быть промаркированы вблизи окончаний у информационной розетки и у кроссового блока. Порты информационной розетки и кроссовых блоков должны быть промаркированы. Прокладка информационных кабелей и кабелей высокого напряжения должна осуществляться с учетом минимизации уровня электромагнитных помех и использовать основные принципы разделения кабелей данных и силовой проводки.</w:t>
      </w:r>
    </w:p>
    <w:p w14:paraId="17E79171" w14:textId="77777777" w:rsidR="002D2D46" w:rsidRPr="007F2D58" w:rsidRDefault="002D2D46" w:rsidP="002D2D46">
      <w:pPr>
        <w:autoSpaceDE w:val="0"/>
        <w:ind w:firstLine="800"/>
        <w:jc w:val="both"/>
        <w:rPr>
          <w:b/>
          <w:lang w:eastAsia="ar-SA"/>
        </w:rPr>
      </w:pPr>
      <w:bookmarkStart w:id="12" w:name="_Toc264467793"/>
      <w:r w:rsidRPr="007F2D58">
        <w:rPr>
          <w:b/>
          <w:lang w:eastAsia="ar-SA"/>
        </w:rPr>
        <w:t>3.4. Требования к административной подсистеме</w:t>
      </w:r>
      <w:bookmarkEnd w:id="12"/>
      <w:r w:rsidRPr="007F2D58">
        <w:rPr>
          <w:b/>
          <w:lang w:eastAsia="ar-SA"/>
        </w:rPr>
        <w:t xml:space="preserve"> </w:t>
      </w:r>
    </w:p>
    <w:p w14:paraId="29C35C44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Административная подсистема включает в себя коммутационные шнуры, с помощью которых происходит физическое соединений линий подсистем, подключенных к коммутационным панелям.</w:t>
      </w:r>
    </w:p>
    <w:p w14:paraId="46B769BB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 xml:space="preserve">Для коммутации горизонтальной подсистемы должны использоваться специальные </w:t>
      </w:r>
      <w:proofErr w:type="spellStart"/>
      <w:r w:rsidRPr="007F2D58">
        <w:rPr>
          <w:lang w:eastAsia="ar-SA"/>
        </w:rPr>
        <w:t>патчкорды</w:t>
      </w:r>
      <w:proofErr w:type="spellEnd"/>
      <w:r w:rsidRPr="007F2D58">
        <w:rPr>
          <w:lang w:eastAsia="ar-SA"/>
        </w:rPr>
        <w:t xml:space="preserve"> со стандартными 8-ми контактными разъемами типа RJ45-RJ45, используемые для выбранной подсистемы интерактивного управления инфраструктурой СКС.</w:t>
      </w:r>
    </w:p>
    <w:p w14:paraId="055FFA49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Маркировка элементов кабельной системы должна выполняться в соответствии со стандартом ANSI/TIA/EIA 606 и должна быть легкодоступна и читаема в течение всего срока эксплуатации системы. Маркировка элементов СКС производится в соответствии с проектной документацией.</w:t>
      </w:r>
    </w:p>
    <w:p w14:paraId="4E1183B5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Розеточные модули, расположенные в информационной розетке, должны располагаться на коммутационной панели рядом друг с другом (принцип непрерывности).</w:t>
      </w:r>
    </w:p>
    <w:p w14:paraId="10F691A5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Распределение коммутационных шнуров по длинам определяется проектом и должно обеспечивать возможность формирования отдельных трактов передачи без образования петель при полной загрузке коммутационного поля.</w:t>
      </w:r>
    </w:p>
    <w:p w14:paraId="5E3E2714" w14:textId="77777777" w:rsidR="002D2D46" w:rsidRPr="007F2D58" w:rsidRDefault="002D2D46" w:rsidP="002D2D46">
      <w:pPr>
        <w:autoSpaceDE w:val="0"/>
        <w:ind w:firstLine="800"/>
        <w:jc w:val="both"/>
        <w:rPr>
          <w:b/>
          <w:lang w:eastAsia="ar-SA"/>
        </w:rPr>
      </w:pPr>
      <w:bookmarkStart w:id="13" w:name="_Toc264467796"/>
      <w:r w:rsidRPr="007F2D58">
        <w:rPr>
          <w:b/>
          <w:lang w:eastAsia="ar-SA"/>
        </w:rPr>
        <w:t>3.5. Требования к надежности</w:t>
      </w:r>
      <w:bookmarkEnd w:id="13"/>
    </w:p>
    <w:p w14:paraId="116E16B1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bookmarkStart w:id="14" w:name="_Toc248142096"/>
      <w:bookmarkStart w:id="15" w:name="_Toc264467797"/>
      <w:r w:rsidRPr="007F2D58">
        <w:rPr>
          <w:lang w:eastAsia="ar-SA"/>
        </w:rPr>
        <w:t>Структурированная кабельная система должна обеспечивать постоянные физические характеристики тракта между портом активного оборудования и абонентским (терминальным) оборудованием вне зависимости от трассы коммутации на коммутационном и кроссовом поле (кроссовых полях).</w:t>
      </w:r>
    </w:p>
    <w:p w14:paraId="47693168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Постоянство физических параметров канала должно обеспечиваться при последующих изменениях конфигурации кабельной системы при максимальном количестве циклов подключения-отключения по ТУ производителя кабельной системы, но не менее 250 таких циклов.</w:t>
      </w:r>
    </w:p>
    <w:p w14:paraId="299949F6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Разрыв соединения по каналу СКС должен осуществляться только отключением коммутационных шнуров на коммутационном поле.</w:t>
      </w:r>
    </w:p>
    <w:p w14:paraId="78B71A69" w14:textId="77777777" w:rsidR="002D2D46" w:rsidRPr="007F2D58" w:rsidRDefault="002D2D46" w:rsidP="002D2D46">
      <w:pPr>
        <w:autoSpaceDE w:val="0"/>
        <w:ind w:firstLine="800"/>
        <w:jc w:val="both"/>
        <w:rPr>
          <w:rFonts w:eastAsia="SimSun"/>
          <w:lang w:eastAsia="ar-SA"/>
        </w:rPr>
      </w:pPr>
      <w:r w:rsidRPr="007F2D58">
        <w:rPr>
          <w:lang w:eastAsia="ar-SA"/>
        </w:rPr>
        <w:t>Используемые в СКС оборудование и материалы не должны допускать изменений физико-химических параметров в результате воздействия окружающей среды за пределы, предусмотренные стандартами СКС, в течение всего срока эксплуатации кабельной системы (не менее 25 лет) при условии соблюдения заданных параметров окружающей среды.</w:t>
      </w:r>
      <w:r w:rsidRPr="007F2D58">
        <w:rPr>
          <w:rFonts w:eastAsia="SimSun"/>
          <w:lang w:eastAsia="ar-SA"/>
        </w:rPr>
        <w:t xml:space="preserve"> </w:t>
      </w:r>
      <w:bookmarkEnd w:id="14"/>
    </w:p>
    <w:p w14:paraId="237D2941" w14:textId="77777777" w:rsidR="002D2D46" w:rsidRPr="007F2D58" w:rsidRDefault="002D2D46" w:rsidP="002D2D46">
      <w:pPr>
        <w:autoSpaceDE w:val="0"/>
        <w:ind w:firstLine="800"/>
        <w:jc w:val="both"/>
        <w:rPr>
          <w:b/>
          <w:lang w:eastAsia="ar-SA"/>
        </w:rPr>
      </w:pPr>
      <w:r w:rsidRPr="007F2D58">
        <w:rPr>
          <w:b/>
          <w:lang w:eastAsia="ar-SA"/>
        </w:rPr>
        <w:t xml:space="preserve">3.6. Требования к системе </w:t>
      </w:r>
      <w:proofErr w:type="spellStart"/>
      <w:r w:rsidRPr="007F2D58">
        <w:rPr>
          <w:b/>
          <w:lang w:eastAsia="ar-SA"/>
        </w:rPr>
        <w:t>кабелепроводов</w:t>
      </w:r>
      <w:bookmarkEnd w:id="15"/>
      <w:proofErr w:type="spellEnd"/>
    </w:p>
    <w:p w14:paraId="13A466E0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 xml:space="preserve">Система </w:t>
      </w:r>
      <w:proofErr w:type="spellStart"/>
      <w:r w:rsidRPr="007F2D58">
        <w:rPr>
          <w:lang w:eastAsia="ar-SA"/>
        </w:rPr>
        <w:t>кабелепроводов</w:t>
      </w:r>
      <w:proofErr w:type="spellEnd"/>
      <w:r w:rsidRPr="007F2D58">
        <w:rPr>
          <w:lang w:eastAsia="ar-SA"/>
        </w:rPr>
        <w:t xml:space="preserve"> должна включать в себя:</w:t>
      </w:r>
    </w:p>
    <w:p w14:paraId="250B650F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 xml:space="preserve">- пластиковые кабельные каналы для прокладки кабелей внутри помещений; </w:t>
      </w:r>
    </w:p>
    <w:p w14:paraId="4130C771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 xml:space="preserve">- металлические лотки для прокладки кабелей по коридорам здания за </w:t>
      </w:r>
      <w:proofErr w:type="spellStart"/>
      <w:r w:rsidRPr="007F2D58">
        <w:rPr>
          <w:lang w:eastAsia="ar-SA"/>
        </w:rPr>
        <w:t>фальшпотолком</w:t>
      </w:r>
      <w:proofErr w:type="spellEnd"/>
      <w:r w:rsidRPr="007F2D58">
        <w:rPr>
          <w:lang w:eastAsia="ar-SA"/>
        </w:rPr>
        <w:t xml:space="preserve"> или под фальшполом;</w:t>
      </w:r>
    </w:p>
    <w:p w14:paraId="07600F79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 xml:space="preserve">- гофрированные трубки для прокладки кабелей за </w:t>
      </w:r>
      <w:proofErr w:type="spellStart"/>
      <w:r w:rsidRPr="007F2D58">
        <w:rPr>
          <w:lang w:eastAsia="ar-SA"/>
        </w:rPr>
        <w:t>фальшстенами</w:t>
      </w:r>
      <w:proofErr w:type="spellEnd"/>
      <w:r w:rsidRPr="007F2D58">
        <w:rPr>
          <w:lang w:eastAsia="ar-SA"/>
        </w:rPr>
        <w:t xml:space="preserve"> и через сквозные отверстия (закладные) в стенах и межэтажных перекрытиях.</w:t>
      </w:r>
    </w:p>
    <w:p w14:paraId="0B3E4B22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 xml:space="preserve">Пластиковые кабельные каналы должны быть производства </w:t>
      </w:r>
      <w:proofErr w:type="spellStart"/>
      <w:r w:rsidRPr="007F2D58">
        <w:rPr>
          <w:lang w:eastAsia="ar-SA"/>
        </w:rPr>
        <w:t>Legrand</w:t>
      </w:r>
      <w:proofErr w:type="spellEnd"/>
      <w:r w:rsidRPr="007F2D58">
        <w:rPr>
          <w:lang w:eastAsia="ar-SA"/>
        </w:rPr>
        <w:t xml:space="preserve">, </w:t>
      </w:r>
      <w:proofErr w:type="spellStart"/>
      <w:r w:rsidRPr="007F2D58">
        <w:rPr>
          <w:lang w:eastAsia="ar-SA"/>
        </w:rPr>
        <w:t>Schneider</w:t>
      </w:r>
      <w:proofErr w:type="spellEnd"/>
      <w:r w:rsidRPr="007F2D58">
        <w:rPr>
          <w:lang w:eastAsia="ar-SA"/>
        </w:rPr>
        <w:t xml:space="preserve"> </w:t>
      </w:r>
      <w:proofErr w:type="spellStart"/>
      <w:r w:rsidRPr="007F2D58">
        <w:rPr>
          <w:lang w:eastAsia="ar-SA"/>
        </w:rPr>
        <w:t>Electric</w:t>
      </w:r>
      <w:proofErr w:type="spellEnd"/>
      <w:r w:rsidRPr="007F2D58">
        <w:rPr>
          <w:lang w:eastAsia="ar-SA"/>
        </w:rPr>
        <w:t xml:space="preserve">, </w:t>
      </w:r>
      <w:proofErr w:type="spellStart"/>
      <w:r w:rsidRPr="007F2D58">
        <w:rPr>
          <w:lang w:eastAsia="ar-SA"/>
        </w:rPr>
        <w:t>Marshall-Tufflex</w:t>
      </w:r>
      <w:proofErr w:type="spellEnd"/>
      <w:r w:rsidRPr="007F2D58">
        <w:rPr>
          <w:lang w:eastAsia="ar-SA"/>
        </w:rPr>
        <w:t xml:space="preserve"> или эквивалент, иметь гигиенические сертификаты и сертификаты пожарной безопасности. Кабель-каналы должны быть белого цвета, устойчивые к воздействию ультрафиолетовых лучей и выносливые к стиранию. На кабельные каналы должен быть представлен российский сертификат пожарной безопасности, зарегистрированный в Государственном реестре Системы сертификации в области пожарной безопасности. Емкость кабельных каналов следует рассчитывать исходя из 70% заполнения. В рабочих помещениях следует использовать кабельные каналы единого сечения. Необходимо использовать сопутствующие элементы (внутренние, внешние, плоские углы, заглушки и т.д.) того же производителя, что и самих кабельных каналов.</w:t>
      </w:r>
    </w:p>
    <w:p w14:paraId="6FD51756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 xml:space="preserve">При отсутствии в коридорах </w:t>
      </w:r>
      <w:proofErr w:type="spellStart"/>
      <w:r w:rsidRPr="007F2D58">
        <w:rPr>
          <w:lang w:eastAsia="ar-SA"/>
        </w:rPr>
        <w:t>фальшпотолка</w:t>
      </w:r>
      <w:proofErr w:type="spellEnd"/>
      <w:r w:rsidRPr="007F2D58">
        <w:rPr>
          <w:lang w:eastAsia="ar-SA"/>
        </w:rPr>
        <w:t xml:space="preserve"> или свободного места за </w:t>
      </w:r>
      <w:proofErr w:type="spellStart"/>
      <w:r w:rsidRPr="007F2D58">
        <w:rPr>
          <w:lang w:eastAsia="ar-SA"/>
        </w:rPr>
        <w:t>фальшпотолоком</w:t>
      </w:r>
      <w:proofErr w:type="spellEnd"/>
      <w:r w:rsidRPr="007F2D58">
        <w:rPr>
          <w:lang w:eastAsia="ar-SA"/>
        </w:rPr>
        <w:t xml:space="preserve"> для прокладки металлического лотка, допускается установка магистрального пластикового канала. Магистральные каналы должны быть снабжены внутренними перегородками и держателями, сечение должно позволять прокладку всех кабелей с заполнением 70% в месте наибольшего сосредоточения прокладываемых кабелей.</w:t>
      </w:r>
    </w:p>
    <w:p w14:paraId="5CED4317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Недопустима замена одного канала большего размера несколькими параллельными каналами меньшего размера.</w:t>
      </w:r>
    </w:p>
    <w:p w14:paraId="1533A525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 xml:space="preserve">При наличии </w:t>
      </w:r>
      <w:proofErr w:type="spellStart"/>
      <w:r w:rsidRPr="007F2D58">
        <w:rPr>
          <w:lang w:eastAsia="ar-SA"/>
        </w:rPr>
        <w:t>фальшпотолка</w:t>
      </w:r>
      <w:proofErr w:type="spellEnd"/>
      <w:r w:rsidRPr="007F2D58">
        <w:rPr>
          <w:lang w:eastAsia="ar-SA"/>
        </w:rPr>
        <w:t xml:space="preserve"> следует использовать металлический лоток перфорированного или сетчатого типа. Заполнение лотка должно быть не более 70%. Металлические конструкции лотков должны быть заземлены. Для обеспечения требований электромагнитной совместимости расстояние между лотками СКС и электрики должно быть не менее 500 мм.</w:t>
      </w:r>
    </w:p>
    <w:p w14:paraId="79534378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 xml:space="preserve">При выполнении скрытой проводки за </w:t>
      </w:r>
      <w:proofErr w:type="spellStart"/>
      <w:r w:rsidRPr="007F2D58">
        <w:rPr>
          <w:lang w:eastAsia="ar-SA"/>
        </w:rPr>
        <w:t>фальшстенами</w:t>
      </w:r>
      <w:proofErr w:type="spellEnd"/>
      <w:r w:rsidRPr="007F2D58">
        <w:rPr>
          <w:lang w:eastAsia="ar-SA"/>
        </w:rPr>
        <w:t xml:space="preserve"> кабели СКС должны прокладываться в гофрированных трубках отдельно от силовых кабелей.</w:t>
      </w:r>
    </w:p>
    <w:bookmarkEnd w:id="3"/>
    <w:p w14:paraId="0A505A4B" w14:textId="77777777" w:rsidR="002D2D46" w:rsidRPr="007F2D58" w:rsidRDefault="002D2D46" w:rsidP="002D2D46">
      <w:pPr>
        <w:autoSpaceDE w:val="0"/>
        <w:ind w:firstLine="800"/>
        <w:jc w:val="both"/>
        <w:rPr>
          <w:b/>
          <w:lang w:eastAsia="ar-SA"/>
        </w:rPr>
      </w:pPr>
      <w:r w:rsidRPr="007F2D58">
        <w:rPr>
          <w:b/>
          <w:lang w:eastAsia="ar-SA"/>
        </w:rPr>
        <w:t>3.7. Требования к тестированию</w:t>
      </w:r>
    </w:p>
    <w:p w14:paraId="47A4A0EC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После окончания монтажных и пуско-наладочных работ необходимо произвести тестирование трактов кабельной системы СКС на соответствие требованиям стандарта ISO/IEC 11801.</w:t>
      </w:r>
    </w:p>
    <w:p w14:paraId="11BE67FC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 xml:space="preserve">Тестированию подлежат все функциональные элементы кабельной системы СКС (коммутационные панели, кабели, розетки, </w:t>
      </w:r>
      <w:proofErr w:type="spellStart"/>
      <w:r w:rsidRPr="007F2D58">
        <w:rPr>
          <w:lang w:eastAsia="ar-SA"/>
        </w:rPr>
        <w:t>патч</w:t>
      </w:r>
      <w:proofErr w:type="spellEnd"/>
      <w:r w:rsidRPr="007F2D58">
        <w:rPr>
          <w:lang w:eastAsia="ar-SA"/>
        </w:rPr>
        <w:t>-корды и проч.), включенные в единую цепь по каждому каналу.</w:t>
      </w:r>
    </w:p>
    <w:p w14:paraId="50A7F7C0" w14:textId="77777777" w:rsidR="002D2D46" w:rsidRPr="007F2D58" w:rsidRDefault="002D2D46" w:rsidP="002D2D46">
      <w:pPr>
        <w:autoSpaceDE w:val="0"/>
        <w:ind w:firstLine="800"/>
        <w:jc w:val="both"/>
        <w:rPr>
          <w:lang w:eastAsia="ar-SA"/>
        </w:rPr>
      </w:pPr>
      <w:r w:rsidRPr="007F2D58">
        <w:rPr>
          <w:lang w:eastAsia="ar-SA"/>
        </w:rPr>
        <w:t>По результатам проведенных испытаний представляются Заказчику протоколы с распечатками результатов тестирования и таблицами номиналов.</w:t>
      </w:r>
    </w:p>
    <w:p w14:paraId="56D86C59" w14:textId="77777777" w:rsidR="002D2D46" w:rsidRPr="007F2D58" w:rsidRDefault="002D2D46" w:rsidP="002D2D46">
      <w:pPr>
        <w:autoSpaceDE w:val="0"/>
        <w:ind w:firstLine="800"/>
        <w:jc w:val="both"/>
        <w:rPr>
          <w:b/>
          <w:lang w:eastAsia="ar-SA"/>
        </w:rPr>
      </w:pPr>
      <w:r w:rsidRPr="007F2D58">
        <w:rPr>
          <w:b/>
          <w:lang w:eastAsia="ar-SA"/>
        </w:rPr>
        <w:t>3.9. Требования к монтажу</w:t>
      </w:r>
    </w:p>
    <w:p w14:paraId="47C165E0" w14:textId="77777777" w:rsidR="00DD0825" w:rsidRDefault="002D2D46" w:rsidP="002D2D46">
      <w:r w:rsidRPr="007F2D58">
        <w:rPr>
          <w:lang w:eastAsia="ar-SA"/>
        </w:rPr>
        <w:t>Монтаж СКС необходимо производить с соблюдением требований техники безопасности и правил пожарной безопасности.</w:t>
      </w:r>
    </w:p>
    <w:sectPr w:rsidR="00DD0825" w:rsidSect="00DD08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BB9"/>
    <w:multiLevelType w:val="multilevel"/>
    <w:tmpl w:val="67DA8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626C19"/>
    <w:multiLevelType w:val="hybridMultilevel"/>
    <w:tmpl w:val="E63406C6"/>
    <w:lvl w:ilvl="0" w:tplc="4A10B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46"/>
    <w:rsid w:val="002C4752"/>
    <w:rsid w:val="002D2D46"/>
    <w:rsid w:val="004A25B0"/>
    <w:rsid w:val="00D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483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4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A25B0"/>
    <w:pPr>
      <w:tabs>
        <w:tab w:val="right" w:leader="dot" w:pos="10456"/>
      </w:tabs>
      <w:spacing w:before="120" w:line="276" w:lineRule="auto"/>
      <w:ind w:left="851"/>
      <w:jc w:val="both"/>
    </w:pPr>
    <w:rPr>
      <w:rFonts w:eastAsiaTheme="minorHAnsi"/>
      <w:color w:val="000000" w:themeColor="text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4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A25B0"/>
    <w:pPr>
      <w:tabs>
        <w:tab w:val="right" w:leader="dot" w:pos="10456"/>
      </w:tabs>
      <w:spacing w:before="120" w:line="276" w:lineRule="auto"/>
      <w:ind w:left="851"/>
      <w:jc w:val="both"/>
    </w:pPr>
    <w:rPr>
      <w:rFonts w:eastAsiaTheme="minorHAnsi"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1899</Words>
  <Characters>10825</Characters>
  <Application>Microsoft Macintosh Word</Application>
  <DocSecurity>0</DocSecurity>
  <Lines>90</Lines>
  <Paragraphs>25</Paragraphs>
  <ScaleCrop>false</ScaleCrop>
  <Company>Каденза</Company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Рузанов</dc:creator>
  <cp:keywords/>
  <dc:description/>
  <cp:lastModifiedBy>Дмитрий Рузанов</cp:lastModifiedBy>
  <cp:revision>2</cp:revision>
  <dcterms:created xsi:type="dcterms:W3CDTF">2016-09-15T17:20:00Z</dcterms:created>
  <dcterms:modified xsi:type="dcterms:W3CDTF">2016-09-21T20:26:00Z</dcterms:modified>
</cp:coreProperties>
</file>