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80" w:rsidRDefault="00CF3980" w:rsidP="00CF3980">
      <w:pPr>
        <w:pStyle w:val="a3"/>
        <w:tabs>
          <w:tab w:val="left" w:pos="720"/>
        </w:tabs>
        <w:spacing w:after="0" w:line="0" w:lineRule="atLeast"/>
        <w:ind w:left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Техническое задание </w:t>
      </w:r>
    </w:p>
    <w:p w:rsidR="00CF3980" w:rsidRDefault="00CF3980" w:rsidP="00CF3980">
      <w:pPr>
        <w:pStyle w:val="a3"/>
        <w:tabs>
          <w:tab w:val="left" w:pos="720"/>
        </w:tabs>
        <w:spacing w:after="0" w:line="0" w:lineRule="atLeast"/>
        <w:ind w:left="0"/>
        <w:jc w:val="both"/>
        <w:rPr>
          <w:rFonts w:ascii="Times New Roman" w:hAnsi="Times New Roman"/>
          <w:b/>
          <w:bCs/>
          <w:color w:val="FF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6252"/>
      </w:tblGrid>
      <w:tr w:rsidR="00CF3980" w:rsidRPr="00807CEE" w:rsidTr="008D0216">
        <w:tc>
          <w:tcPr>
            <w:tcW w:w="817" w:type="dxa"/>
            <w:shd w:val="clear" w:color="auto" w:fill="auto"/>
            <w:vAlign w:val="center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br w:type="page"/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Перечень основных данных и требований Заказчика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Содержание данных и требований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  <w:vAlign w:val="center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2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</w:t>
            </w:r>
          </w:p>
        </w:tc>
      </w:tr>
      <w:tr w:rsidR="00CF3980" w:rsidRPr="00807CEE" w:rsidTr="008D0216">
        <w:tc>
          <w:tcPr>
            <w:tcW w:w="10188" w:type="dxa"/>
            <w:gridSpan w:val="3"/>
            <w:shd w:val="clear" w:color="auto" w:fill="auto"/>
          </w:tcPr>
          <w:p w:rsidR="00CF3980" w:rsidRPr="00206FAC" w:rsidRDefault="00CF3980" w:rsidP="00CF39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6FAC">
              <w:rPr>
                <w:rFonts w:ascii="Times New Roman" w:hAnsi="Times New Roman"/>
                <w:b/>
              </w:rPr>
              <w:t>ОБЩИЕ ДАННЫЕ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EF4B2B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Сведение об участке строительства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pStyle w:val="a8"/>
              <w:autoSpaceDE w:val="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206FAC">
              <w:rPr>
                <w:rFonts w:eastAsia="Times New Roman CYR" w:cs="Times New Roman"/>
                <w:color w:val="auto"/>
                <w:sz w:val="22"/>
                <w:szCs w:val="22"/>
                <w:lang w:val="ru-RU"/>
              </w:rPr>
              <w:t>Сейсмичность района – 6 баллов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Вид строительства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 xml:space="preserve">Капитальный ремонт 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Требования к проектной документации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Состав разделов проектной документации и их содержание должно соответствовать:</w:t>
            </w:r>
          </w:p>
          <w:p w:rsidR="00CF3980" w:rsidRPr="00206FAC" w:rsidRDefault="00CF3980" w:rsidP="00CF3980">
            <w:pPr>
              <w:numPr>
                <w:ilvl w:val="0"/>
                <w:numId w:val="1"/>
              </w:numPr>
              <w:tabs>
                <w:tab w:val="clear" w:pos="720"/>
                <w:tab w:val="num" w:pos="24"/>
              </w:tabs>
              <w:suppressAutoHyphens w:val="0"/>
              <w:spacing w:after="0" w:line="240" w:lineRule="auto"/>
              <w:ind w:left="24" w:hanging="720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 xml:space="preserve">-Постановлению Правительства Российской Федерации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06FAC">
                <w:rPr>
                  <w:rFonts w:ascii="Times New Roman" w:eastAsia="Times New Roman CYR" w:hAnsi="Times New Roman"/>
                </w:rPr>
                <w:t>2008 г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. №87 «О составе разделов проектной документации и требованиях к их содержанию»; </w:t>
            </w:r>
          </w:p>
          <w:p w:rsidR="00CF3980" w:rsidRPr="00206FAC" w:rsidRDefault="00CF3980" w:rsidP="00CF3980">
            <w:pPr>
              <w:numPr>
                <w:ilvl w:val="0"/>
                <w:numId w:val="1"/>
              </w:numPr>
              <w:tabs>
                <w:tab w:val="clear" w:pos="720"/>
                <w:tab w:val="num" w:pos="24"/>
              </w:tabs>
              <w:suppressAutoHyphens w:val="0"/>
              <w:spacing w:after="0" w:line="240" w:lineRule="auto"/>
              <w:ind w:left="24" w:hanging="720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-Постановлению Правительства Российской Федерации от 05 марта 2007 №145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CF3980" w:rsidRPr="00206FAC" w:rsidRDefault="00CF3980" w:rsidP="008D0216">
            <w:pPr>
              <w:spacing w:after="0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-Национальному стандарту РФ ГОСТ Р 21.1101-2013 «Система проектной документации для строительства. Основные требования к проектной и рабочей документации»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Стадия проектирования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Проектно-</w:t>
            </w:r>
            <w:r w:rsidR="00EF4B2B" w:rsidRPr="00206FAC">
              <w:rPr>
                <w:rFonts w:ascii="Times New Roman" w:hAnsi="Times New Roman"/>
              </w:rPr>
              <w:t>сметная документация</w:t>
            </w:r>
          </w:p>
        </w:tc>
      </w:tr>
      <w:tr w:rsidR="00CF3980" w:rsidRPr="00807CEE" w:rsidTr="008D0216">
        <w:tc>
          <w:tcPr>
            <w:tcW w:w="10188" w:type="dxa"/>
            <w:gridSpan w:val="3"/>
            <w:shd w:val="clear" w:color="auto" w:fill="auto"/>
          </w:tcPr>
          <w:p w:rsidR="00CF3980" w:rsidRPr="00206FAC" w:rsidRDefault="00CF3980" w:rsidP="00CF398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6FAC">
              <w:rPr>
                <w:rFonts w:ascii="Times New Roman" w:hAnsi="Times New Roman"/>
                <w:b/>
              </w:rPr>
              <w:t>Краткая характеристика здания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Тип зданий и сооружений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Нежилое помещение в жилом здании</w:t>
            </w:r>
          </w:p>
        </w:tc>
      </w:tr>
      <w:tr w:rsidR="00CF3980" w:rsidRPr="00807CEE" w:rsidTr="00EF4B2B">
        <w:trPr>
          <w:trHeight w:val="107"/>
        </w:trPr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EF4B2B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 xml:space="preserve">Этажность и высота 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EF4B2B">
            <w:pPr>
              <w:autoSpaceDE w:val="0"/>
              <w:snapToGrid w:val="0"/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3-этажное здание</w:t>
            </w:r>
            <w:r w:rsidR="00EF4B2B">
              <w:rPr>
                <w:rFonts w:ascii="Times New Roman" w:eastAsia="Times New Roman CYR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9,1 м"/>
              </w:smartTagPr>
              <w:r w:rsidRPr="00206FAC">
                <w:rPr>
                  <w:rFonts w:ascii="Times New Roman" w:eastAsia="Times New Roman CYR" w:hAnsi="Times New Roman"/>
                </w:rPr>
                <w:t>9,1 м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 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Краткая характеристика здания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autoSpaceDE w:val="0"/>
              <w:snapToGrid w:val="0"/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Год постройки-1984</w:t>
            </w:r>
            <w:r w:rsidR="00EF4B2B">
              <w:rPr>
                <w:rFonts w:ascii="Times New Roman" w:eastAsia="Times New Roman CYR" w:hAnsi="Times New Roman"/>
              </w:rPr>
              <w:t xml:space="preserve">, </w:t>
            </w:r>
            <w:r w:rsidRPr="00206FAC">
              <w:rPr>
                <w:rFonts w:ascii="Times New Roman" w:eastAsia="Times New Roman CYR" w:hAnsi="Times New Roman"/>
              </w:rPr>
              <w:t xml:space="preserve">Материал стен </w:t>
            </w:r>
            <w:r w:rsidR="00EF4B2B">
              <w:rPr>
                <w:rFonts w:ascii="Times New Roman" w:eastAsia="Times New Roman CYR" w:hAnsi="Times New Roman"/>
              </w:rPr>
              <w:t>–</w:t>
            </w:r>
            <w:r w:rsidRPr="00206FAC">
              <w:rPr>
                <w:rFonts w:ascii="Times New Roman" w:eastAsia="Times New Roman CYR" w:hAnsi="Times New Roman"/>
              </w:rPr>
              <w:t xml:space="preserve"> кирпичные</w:t>
            </w:r>
            <w:r w:rsidR="00EF4B2B">
              <w:rPr>
                <w:rFonts w:ascii="Times New Roman" w:eastAsia="Times New Roman CYR" w:hAnsi="Times New Roman"/>
              </w:rPr>
              <w:t xml:space="preserve">, </w:t>
            </w:r>
            <w:r w:rsidRPr="00206FAC">
              <w:rPr>
                <w:rFonts w:ascii="Times New Roman" w:eastAsia="Times New Roman CYR" w:hAnsi="Times New Roman"/>
              </w:rPr>
              <w:t>Перегородки – кирпичные</w:t>
            </w:r>
            <w:r w:rsidR="00EF4B2B">
              <w:rPr>
                <w:rFonts w:ascii="Times New Roman" w:eastAsia="Times New Roman CYR" w:hAnsi="Times New Roman"/>
              </w:rPr>
              <w:t xml:space="preserve">, </w:t>
            </w:r>
            <w:r w:rsidRPr="00206FAC">
              <w:rPr>
                <w:rFonts w:ascii="Times New Roman" w:eastAsia="Times New Roman CYR" w:hAnsi="Times New Roman"/>
              </w:rPr>
              <w:t>Перекрытия –ж /б плиты</w:t>
            </w:r>
            <w:r w:rsidR="00EF4B2B">
              <w:rPr>
                <w:rFonts w:ascii="Times New Roman" w:eastAsia="Times New Roman CYR" w:hAnsi="Times New Roman"/>
              </w:rPr>
              <w:t xml:space="preserve">, </w:t>
            </w:r>
            <w:r w:rsidRPr="00206FAC">
              <w:rPr>
                <w:rFonts w:ascii="Times New Roman" w:eastAsia="Times New Roman CYR" w:hAnsi="Times New Roman"/>
              </w:rPr>
              <w:t>Крыша-шифер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2.4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CF3980" w:rsidRPr="00206FAC" w:rsidRDefault="00CF3980" w:rsidP="008D0216">
            <w:pPr>
              <w:spacing w:after="0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Основные параметры зданий и сооружений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ind w:left="83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-параметры основных   площадей здания: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Общая площадь помещения по внутреннему обмеру -206,3 кв.м.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2"/>
            <w:shd w:val="clear" w:color="auto" w:fill="auto"/>
          </w:tcPr>
          <w:p w:rsidR="00CF3980" w:rsidRPr="00206FAC" w:rsidRDefault="00CF3980" w:rsidP="008D02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  <w:b/>
              </w:rPr>
              <w:t>3. Основные требования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2"/>
            <w:shd w:val="clear" w:color="auto" w:fill="auto"/>
          </w:tcPr>
          <w:p w:rsidR="00CF3980" w:rsidRPr="00206FAC" w:rsidRDefault="00CF3980" w:rsidP="008D0216">
            <w:pPr>
              <w:tabs>
                <w:tab w:val="left" w:pos="69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06FAC">
              <w:rPr>
                <w:rFonts w:ascii="Times New Roman" w:hAnsi="Times New Roman"/>
                <w:b/>
              </w:rPr>
              <w:t xml:space="preserve">3.1 Архитектурно - планировочные решения </w:t>
            </w:r>
          </w:p>
          <w:p w:rsidR="00CF3980" w:rsidRPr="00206FAC" w:rsidRDefault="00CF3980" w:rsidP="008D0216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206FAC">
              <w:rPr>
                <w:rFonts w:ascii="Times New Roman" w:hAnsi="Times New Roman"/>
                <w:b/>
              </w:rPr>
              <w:t>(основные принципы планировки помещений, наружная и внутренняя отделка)</w:t>
            </w:r>
          </w:p>
        </w:tc>
      </w:tr>
      <w:tr w:rsidR="00CF3980" w:rsidRPr="00807CEE" w:rsidTr="000E118A">
        <w:trPr>
          <w:trHeight w:val="3534"/>
        </w:trPr>
        <w:tc>
          <w:tcPr>
            <w:tcW w:w="817" w:type="dxa"/>
            <w:shd w:val="clear" w:color="auto" w:fill="auto"/>
          </w:tcPr>
          <w:p w:rsidR="00CF3980" w:rsidRPr="00206FAC" w:rsidRDefault="00CF3980" w:rsidP="00EF4B2B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3.1.1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Материалы и отделка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 xml:space="preserve">Определить проектом с использованием современных отделочных материалов, изделий и технологий СП 118.13330.2011, СП 59.13330.2010. Стилевые особенности здания определить в соответствии с архитектурно-планировочными решениями и по согласованию с Заказчиком, с учетом функционально-технологических связей и режимом эксплуатации отдельных групп помещений, Рекомендаций по проектированию административных зданий Пенсионного Фонда Российской Федерации, Методическим руководством по фирменному стилю Пенсионного Фонда Российской Федерации, Рекомендаций по материалам, используемым для отделки </w:t>
            </w:r>
            <w:r w:rsidR="00EF4B2B" w:rsidRPr="00206FAC">
              <w:rPr>
                <w:rFonts w:ascii="Times New Roman" w:hAnsi="Times New Roman"/>
              </w:rPr>
              <w:t>зданий (</w:t>
            </w:r>
            <w:r w:rsidRPr="00206FAC">
              <w:rPr>
                <w:rFonts w:ascii="Times New Roman" w:hAnsi="Times New Roman"/>
              </w:rPr>
              <w:t>помещений) ПФР.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3.1.2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pStyle w:val="a8"/>
              <w:autoSpaceDE w:val="0"/>
              <w:snapToGrid w:val="0"/>
              <w:spacing w:after="0"/>
              <w:rPr>
                <w:rFonts w:eastAsia="Times New Roman CYR" w:cs="Times New Roman"/>
                <w:color w:val="auto"/>
                <w:sz w:val="22"/>
                <w:szCs w:val="22"/>
                <w:lang w:val="ru-RU"/>
              </w:rPr>
            </w:pPr>
            <w:r w:rsidRPr="00206FAC">
              <w:rPr>
                <w:rFonts w:eastAsia="Times New Roman CYR" w:cs="Times New Roman"/>
                <w:color w:val="auto"/>
                <w:sz w:val="22"/>
                <w:szCs w:val="22"/>
                <w:lang w:val="ru-RU"/>
              </w:rPr>
              <w:t>Требования</w:t>
            </w:r>
          </w:p>
          <w:p w:rsidR="00CF3980" w:rsidRPr="00206FAC" w:rsidRDefault="00CF3980" w:rsidP="008D0216">
            <w:pPr>
              <w:autoSpaceDE w:val="0"/>
              <w:snapToGrid w:val="0"/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по обеспечению условий работы с инвалидами и</w:t>
            </w:r>
          </w:p>
          <w:p w:rsidR="00CF3980" w:rsidRPr="00206FAC" w:rsidRDefault="00CF3980" w:rsidP="008D0216">
            <w:pPr>
              <w:autoSpaceDE w:val="0"/>
              <w:snapToGrid w:val="0"/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маломобильными группами</w:t>
            </w:r>
          </w:p>
          <w:p w:rsidR="00CF3980" w:rsidRPr="00206FAC" w:rsidRDefault="00CF3980" w:rsidP="008D0216">
            <w:pPr>
              <w:autoSpaceDE w:val="0"/>
              <w:snapToGrid w:val="0"/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населения:</w:t>
            </w:r>
          </w:p>
          <w:p w:rsidR="00CF3980" w:rsidRPr="00206FAC" w:rsidRDefault="00CF3980" w:rsidP="008D0216">
            <w:pPr>
              <w:autoSpaceDE w:val="0"/>
              <w:snapToGrid w:val="0"/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-входная дверь</w:t>
            </w: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</w:p>
          <w:p w:rsidR="00EF4B2B" w:rsidRDefault="00EF4B2B" w:rsidP="008D0216">
            <w:pPr>
              <w:spacing w:after="0"/>
              <w:rPr>
                <w:rFonts w:ascii="Times New Roman" w:hAnsi="Times New Roman"/>
              </w:rPr>
            </w:pPr>
          </w:p>
          <w:p w:rsidR="00EF4B2B" w:rsidRDefault="00EF4B2B" w:rsidP="008D0216">
            <w:pPr>
              <w:spacing w:after="0"/>
              <w:rPr>
                <w:rFonts w:ascii="Times New Roman" w:hAnsi="Times New Roman"/>
              </w:rPr>
            </w:pP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- тамбур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ind w:firstLine="384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lastRenderedPageBreak/>
              <w:t xml:space="preserve">Наружные двери - в соответствии с требованиями доступности здания для МГН, в т.ч.: ширина проема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06FAC">
                <w:rPr>
                  <w:rFonts w:ascii="Times New Roman" w:eastAsia="Times New Roman CYR" w:hAnsi="Times New Roman"/>
                </w:rPr>
                <w:t>1,2 м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., предусмотреть смотровые окна, нижняя часть на высоте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06FAC">
                <w:rPr>
                  <w:rFonts w:ascii="Times New Roman" w:eastAsia="Times New Roman CYR" w:hAnsi="Times New Roman"/>
                </w:rPr>
                <w:t>0,5 м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, а верхняя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06FAC">
                <w:rPr>
                  <w:rFonts w:ascii="Times New Roman" w:eastAsia="Times New Roman CYR" w:hAnsi="Times New Roman"/>
                </w:rPr>
                <w:t>1,2 м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 от уровня пола. Нижняя часть должна быть защищена противоударной полосой, двери должны обеспечивать задержку автоматического закрывания продолжительностью не менее 5 сек. Необходимо предусмотреть контрастную окраску дверных наличников или </w:t>
            </w:r>
            <w:r w:rsidRPr="00206FAC">
              <w:rPr>
                <w:rFonts w:ascii="Times New Roman" w:eastAsia="Times New Roman CYR" w:hAnsi="Times New Roman"/>
              </w:rPr>
              <w:lastRenderedPageBreak/>
              <w:t xml:space="preserve">краев дверного полотна и ручки. Высота каждого элемента порога не должна превышать </w:t>
            </w:r>
            <w:smartTag w:uri="urn:schemas-microsoft-com:office:smarttags" w:element="metricconverter">
              <w:smartTagPr>
                <w:attr w:name="ProductID" w:val="0,014 м"/>
              </w:smartTagPr>
              <w:r w:rsidRPr="00206FAC">
                <w:rPr>
                  <w:rFonts w:ascii="Times New Roman" w:eastAsia="Times New Roman CYR" w:hAnsi="Times New Roman"/>
                </w:rPr>
                <w:t>0,014 м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. Применяемые материалы должны соответствовать требованиям ст. 134 Федерального закона от 22.07.2008 №123-ФЗ «Технический регламент о требованиях пожарной безопасности». </w:t>
            </w:r>
          </w:p>
          <w:p w:rsidR="00CF3980" w:rsidRPr="00206FAC" w:rsidRDefault="00CF3980" w:rsidP="008D0216">
            <w:pPr>
              <w:spacing w:after="0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 xml:space="preserve"> Глубина тамбура должна быть не менее </w:t>
            </w:r>
            <w:smartTag w:uri="urn:schemas-microsoft-com:office:smarttags" w:element="metricconverter">
              <w:smartTagPr>
                <w:attr w:name="ProductID" w:val="2,3 м"/>
              </w:smartTagPr>
              <w:r w:rsidRPr="00206FAC">
                <w:rPr>
                  <w:rFonts w:ascii="Times New Roman" w:eastAsia="Times New Roman CYR" w:hAnsi="Times New Roman"/>
                </w:rPr>
                <w:t>2,3 м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 </w:t>
            </w:r>
            <w:r w:rsidR="00EF4B2B" w:rsidRPr="00206FAC">
              <w:rPr>
                <w:rFonts w:ascii="Times New Roman" w:eastAsia="Times New Roman CYR" w:hAnsi="Times New Roman"/>
              </w:rPr>
              <w:t>при ширине</w:t>
            </w:r>
            <w:r w:rsidRPr="00206FAC">
              <w:rPr>
                <w:rFonts w:ascii="Times New Roman" w:eastAsia="Times New Roman CYR" w:hAnsi="Times New Roman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06FAC">
                <w:rPr>
                  <w:rFonts w:ascii="Times New Roman" w:eastAsia="Times New Roman CYR" w:hAnsi="Times New Roman"/>
                </w:rPr>
                <w:t>1,5 м</w:t>
              </w:r>
            </w:smartTag>
            <w:r w:rsidRPr="00206FAC">
              <w:rPr>
                <w:rFonts w:ascii="Times New Roman" w:eastAsia="Times New Roman CYR" w:hAnsi="Times New Roman"/>
              </w:rPr>
              <w:t>. Перегородки из ПВХ - профилей, заполнение – двойной стеклопакет.</w:t>
            </w:r>
          </w:p>
        </w:tc>
      </w:tr>
      <w:tr w:rsidR="00CF3980" w:rsidRPr="00807CEE" w:rsidTr="008D0216">
        <w:trPr>
          <w:trHeight w:val="2685"/>
        </w:trPr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lastRenderedPageBreak/>
              <w:t>3.1.3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Клиентский зал и коридор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 xml:space="preserve">Предусмотреть открытый тип организации пространства клиентской службы с учетом требований СП 59.13330.2012 для инвалидов и маломобильных групп населения </w:t>
            </w:r>
          </w:p>
          <w:p w:rsidR="00CF3980" w:rsidRPr="00206FAC" w:rsidRDefault="00CF3980" w:rsidP="008D0216">
            <w:pPr>
              <w:spacing w:after="0"/>
              <w:ind w:firstLine="384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 xml:space="preserve">Предусмотреть размещение не менее 4 рабочих </w:t>
            </w:r>
            <w:r w:rsidR="00EF4B2B" w:rsidRPr="00206FAC">
              <w:rPr>
                <w:rFonts w:ascii="Times New Roman" w:hAnsi="Times New Roman"/>
              </w:rPr>
              <w:t>мест с</w:t>
            </w:r>
            <w:r w:rsidRPr="00206FAC">
              <w:rPr>
                <w:rFonts w:ascii="Times New Roman" w:hAnsi="Times New Roman"/>
              </w:rPr>
              <w:t xml:space="preserve"> возможностью установки между ними перегородок из ПВХ.  </w:t>
            </w:r>
          </w:p>
          <w:p w:rsidR="00CF3980" w:rsidRPr="00206FAC" w:rsidRDefault="00CF3980" w:rsidP="008D0216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 xml:space="preserve">Отделку помещений определить с использованием современных отделочных материалов, изделий и </w:t>
            </w:r>
            <w:r w:rsidR="00EF4B2B" w:rsidRPr="00206FAC">
              <w:rPr>
                <w:rFonts w:ascii="Times New Roman" w:hAnsi="Times New Roman"/>
              </w:rPr>
              <w:t>технологий, Рекомендаций</w:t>
            </w:r>
            <w:r w:rsidRPr="00206FAC">
              <w:rPr>
                <w:rFonts w:ascii="Times New Roman" w:hAnsi="Times New Roman"/>
              </w:rPr>
              <w:t xml:space="preserve"> по материалам, используемым для отделки </w:t>
            </w:r>
            <w:r w:rsidR="00EF4B2B" w:rsidRPr="00206FAC">
              <w:rPr>
                <w:rFonts w:ascii="Times New Roman" w:hAnsi="Times New Roman"/>
              </w:rPr>
              <w:t>зданий (</w:t>
            </w:r>
            <w:r w:rsidRPr="00206FAC">
              <w:rPr>
                <w:rFonts w:ascii="Times New Roman" w:hAnsi="Times New Roman"/>
              </w:rPr>
              <w:t>помещений) ПФР и по согласованию с Заказчиком.</w:t>
            </w:r>
          </w:p>
          <w:p w:rsidR="00CF3980" w:rsidRPr="00206FAC" w:rsidRDefault="00CF3980" w:rsidP="008D0216">
            <w:pPr>
              <w:spacing w:after="0"/>
              <w:ind w:firstLine="384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 xml:space="preserve">Основную цветовую гамму использовать с учетом Методического руководства по фирменному стилю Пенсионного Фонда Российской Федерации и по согласованию с заказчиком. </w:t>
            </w:r>
          </w:p>
          <w:p w:rsidR="00CF3980" w:rsidRPr="00206FAC" w:rsidRDefault="00CF3980" w:rsidP="008D0216">
            <w:pPr>
              <w:spacing w:after="0"/>
              <w:ind w:firstLine="384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hAnsi="Times New Roman"/>
              </w:rPr>
              <w:t>В отделке стен применить износоустойчивую декоративную штукатурку типа «Мультиколор+» или эквивалент,</w:t>
            </w:r>
            <w:r w:rsidRPr="00206FAC">
              <w:rPr>
                <w:rFonts w:ascii="Times New Roman" w:eastAsia="Times New Roman CYR" w:hAnsi="Times New Roman"/>
              </w:rPr>
              <w:t xml:space="preserve"> предусмотреть установку отбойных досок из ламинированных панелей МДФ в местах оборудования рабочих кресел </w:t>
            </w:r>
            <w:r w:rsidR="000E118A" w:rsidRPr="00206FAC">
              <w:rPr>
                <w:rFonts w:ascii="Times New Roman" w:eastAsia="Times New Roman CYR" w:hAnsi="Times New Roman"/>
              </w:rPr>
              <w:t>и мест</w:t>
            </w:r>
            <w:r w:rsidRPr="00206FAC">
              <w:rPr>
                <w:rFonts w:ascii="Times New Roman" w:eastAsia="Times New Roman CYR" w:hAnsi="Times New Roman"/>
              </w:rPr>
              <w:t xml:space="preserve"> ожидания посетителей.</w:t>
            </w:r>
          </w:p>
          <w:p w:rsidR="00CF3980" w:rsidRPr="00206FAC" w:rsidRDefault="00CF3980" w:rsidP="008D0216">
            <w:pPr>
              <w:spacing w:after="0"/>
              <w:ind w:firstLine="384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 xml:space="preserve">Пол- керамогранитная плитка матовая, толщиной не менее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206FAC">
                <w:rPr>
                  <w:rFonts w:ascii="Times New Roman" w:hAnsi="Times New Roman"/>
                </w:rPr>
                <w:t>7 мм</w:t>
              </w:r>
            </w:smartTag>
            <w:r w:rsidRPr="00206FAC">
              <w:rPr>
                <w:rFonts w:ascii="Times New Roman" w:hAnsi="Times New Roman"/>
              </w:rPr>
              <w:t xml:space="preserve">.   Потолок -  </w:t>
            </w:r>
            <w:r w:rsidRPr="00206FAC">
              <w:rPr>
                <w:rFonts w:ascii="Times New Roman" w:eastAsia="Times New Roman CYR" w:hAnsi="Times New Roman"/>
              </w:rPr>
              <w:t>подвесной типа «Армстронг».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3.1.4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Санузел для МГН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 xml:space="preserve">Оборудовать с учетом требований СП 59.13330.2012 </w:t>
            </w:r>
            <w:r w:rsidRPr="00206FAC">
              <w:rPr>
                <w:rFonts w:ascii="Times New Roman" w:hAnsi="Times New Roman"/>
              </w:rPr>
              <w:t>«СНиП 35-01-2001 «Доступность зданий и сооружений для маломобильных групп населения»</w:t>
            </w:r>
            <w:r w:rsidRPr="00206FAC">
              <w:rPr>
                <w:rFonts w:ascii="Times New Roman" w:eastAsia="Times New Roman CYR" w:hAnsi="Times New Roman"/>
              </w:rPr>
              <w:t xml:space="preserve">. </w:t>
            </w:r>
            <w:r w:rsidR="000E118A" w:rsidRPr="00206FAC">
              <w:rPr>
                <w:rFonts w:ascii="Times New Roman" w:eastAsia="Times New Roman CYR" w:hAnsi="Times New Roman"/>
              </w:rPr>
              <w:t>Предусмотреть кнопку</w:t>
            </w:r>
            <w:r w:rsidRPr="00206FAC">
              <w:rPr>
                <w:rFonts w:ascii="Times New Roman" w:eastAsia="Times New Roman CYR" w:hAnsi="Times New Roman"/>
              </w:rPr>
              <w:t xml:space="preserve"> вызова экстренной помощи. Замок двери в санузле должен иметь возможность открывания снаружи. Отделка стен - керамическая плитка с глянцевой поверхностью, пол - керамическая плитка с матовой поверхностью. Потолок – реечный типа «</w:t>
            </w:r>
            <w:proofErr w:type="spellStart"/>
            <w:r w:rsidRPr="00206FAC">
              <w:rPr>
                <w:rFonts w:ascii="Times New Roman" w:eastAsia="Times New Roman CYR" w:hAnsi="Times New Roman"/>
              </w:rPr>
              <w:t>Албес</w:t>
            </w:r>
            <w:proofErr w:type="spellEnd"/>
            <w:r w:rsidRPr="00206FAC">
              <w:rPr>
                <w:rFonts w:ascii="Times New Roman" w:eastAsia="Times New Roman CYR" w:hAnsi="Times New Roman"/>
              </w:rPr>
              <w:t>» или эквивалент.</w:t>
            </w:r>
          </w:p>
          <w:p w:rsidR="00CF3980" w:rsidRPr="00206FAC" w:rsidRDefault="00CF3980" w:rsidP="008D0216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Перед входом в санузел предусмотреть пиктограмму о его доступности для МГН.</w:t>
            </w:r>
          </w:p>
        </w:tc>
      </w:tr>
      <w:tr w:rsidR="00CF3980" w:rsidRPr="00807CEE" w:rsidTr="00EF4B2B">
        <w:trPr>
          <w:trHeight w:val="1515"/>
        </w:trPr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3.1.5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Служебные помещения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 xml:space="preserve">Отделку помещений определить проектом с использованием современных отделочных материалов, изделий и технологий и по согласованию с Заказчиком. Стены – оклейка стекловолоконными обоями под покраску, предусмотреть установку отбойных досок из ламинированных панелей МДФ. Потолок – подвесной типа «Армстронг».  Пол – </w:t>
            </w:r>
            <w:r w:rsidR="00EF4B2B" w:rsidRPr="00206FAC">
              <w:rPr>
                <w:rFonts w:ascii="Times New Roman" w:eastAsia="Times New Roman CYR" w:hAnsi="Times New Roman"/>
              </w:rPr>
              <w:t>коммерческий линолеум</w:t>
            </w:r>
            <w:r w:rsidRPr="00206FAC">
              <w:rPr>
                <w:rFonts w:ascii="Times New Roman" w:eastAsia="Times New Roman CYR" w:hAnsi="Times New Roman"/>
              </w:rPr>
              <w:t>.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3.1.6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Санузел для персонала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Отделка стен - керамическая плитка с глянцевой поверхностью, пол - керамическая плитка с матовой поверхностью. Потолок – реечный типа «</w:t>
            </w:r>
            <w:proofErr w:type="spellStart"/>
            <w:r w:rsidRPr="00206FAC">
              <w:rPr>
                <w:rFonts w:ascii="Times New Roman" w:eastAsia="Times New Roman CYR" w:hAnsi="Times New Roman"/>
              </w:rPr>
              <w:t>Албес</w:t>
            </w:r>
            <w:proofErr w:type="spellEnd"/>
            <w:r w:rsidRPr="00206FAC">
              <w:rPr>
                <w:rFonts w:ascii="Times New Roman" w:eastAsia="Times New Roman CYR" w:hAnsi="Times New Roman"/>
              </w:rPr>
              <w:t>» или эквивалент.</w:t>
            </w:r>
          </w:p>
        </w:tc>
      </w:tr>
      <w:tr w:rsidR="00CF3980" w:rsidRPr="00807CEE" w:rsidTr="008D0216">
        <w:trPr>
          <w:trHeight w:val="274"/>
        </w:trPr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3.1.7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Технические помещения:</w:t>
            </w: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- серверная</w:t>
            </w: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206FAC">
              <w:rPr>
                <w:rFonts w:ascii="Times New Roman" w:hAnsi="Times New Roman"/>
              </w:rPr>
              <w:t>- архив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 xml:space="preserve">Оборудовать в соответствии с требованиями </w:t>
            </w:r>
            <w:r w:rsidRPr="00206FAC">
              <w:rPr>
                <w:rFonts w:ascii="Times New Roman" w:hAnsi="Times New Roman"/>
              </w:rPr>
              <w:t xml:space="preserve">СН 512-78. </w:t>
            </w:r>
            <w:r w:rsidRPr="00206FAC">
              <w:rPr>
                <w:rFonts w:ascii="Times New Roman" w:eastAsia="Times New Roman CYR" w:hAnsi="Times New Roman"/>
              </w:rPr>
              <w:t xml:space="preserve">В отделке помещения применить: пол – </w:t>
            </w:r>
            <w:proofErr w:type="spellStart"/>
            <w:r w:rsidRPr="00206FAC">
              <w:rPr>
                <w:rFonts w:ascii="Times New Roman" w:eastAsia="Times New Roman CYR" w:hAnsi="Times New Roman"/>
              </w:rPr>
              <w:t>керамогранит</w:t>
            </w:r>
            <w:proofErr w:type="spellEnd"/>
            <w:r w:rsidRPr="00206FAC">
              <w:rPr>
                <w:rFonts w:ascii="Times New Roman" w:eastAsia="Times New Roman CYR" w:hAnsi="Times New Roman"/>
              </w:rPr>
              <w:t>, стены и потолок – окраска водоэмульсионной краской.</w:t>
            </w:r>
          </w:p>
          <w:p w:rsidR="00CF3980" w:rsidRPr="00206FAC" w:rsidRDefault="00CF3980" w:rsidP="008D0216">
            <w:pPr>
              <w:widowControl w:val="0"/>
              <w:spacing w:after="0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 xml:space="preserve">В отделке помещения применить: пол – </w:t>
            </w:r>
            <w:proofErr w:type="spellStart"/>
            <w:r w:rsidRPr="00206FAC">
              <w:rPr>
                <w:rFonts w:ascii="Times New Roman" w:eastAsia="Times New Roman CYR" w:hAnsi="Times New Roman"/>
              </w:rPr>
              <w:t>керамогранит</w:t>
            </w:r>
            <w:proofErr w:type="spellEnd"/>
            <w:r w:rsidRPr="00206FAC">
              <w:rPr>
                <w:rFonts w:ascii="Times New Roman" w:eastAsia="Times New Roman CYR" w:hAnsi="Times New Roman"/>
              </w:rPr>
              <w:t>, стены – окраска водоэмульсионной краской.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lastRenderedPageBreak/>
              <w:t>3.1.8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Оконные и дверные блоки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widowControl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206FAC">
              <w:rPr>
                <w:rFonts w:ascii="Times New Roman" w:eastAsia="Times New Roman CYR" w:hAnsi="Times New Roman"/>
              </w:rPr>
              <w:t xml:space="preserve">Выполнить замену деревянных оконных блоков на блоки из ПВХ профиля, замену дверных блоков выполнить согласно обмерочным чертежам.  Внутренние двери предусмотреть из МДФ с отделкой натуральным шпоном. </w:t>
            </w:r>
          </w:p>
        </w:tc>
      </w:tr>
      <w:tr w:rsidR="00CF3980" w:rsidRPr="00807CEE" w:rsidTr="008D0216">
        <w:tc>
          <w:tcPr>
            <w:tcW w:w="10188" w:type="dxa"/>
            <w:gridSpan w:val="3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  <w:b/>
              </w:rPr>
              <w:t>3.2 Инженерные системы здания</w:t>
            </w:r>
          </w:p>
        </w:tc>
      </w:tr>
      <w:tr w:rsidR="00CF3980" w:rsidRPr="00807CEE" w:rsidTr="008D0216">
        <w:trPr>
          <w:trHeight w:val="840"/>
        </w:trPr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3.2.1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Водопровод и канализаци</w:t>
            </w:r>
            <w:smartTag w:uri="urn:schemas-microsoft-com:office:smarttags" w:element="PersonName">
              <w:r w:rsidRPr="00206FAC">
                <w:rPr>
                  <w:rFonts w:ascii="Times New Roman" w:hAnsi="Times New Roman"/>
                </w:rPr>
                <w:t>я</w:t>
              </w:r>
            </w:smartTag>
            <w:r w:rsidRPr="00206FAC">
              <w:rPr>
                <w:rFonts w:ascii="Times New Roman" w:hAnsi="Times New Roman"/>
              </w:rPr>
              <w:t>: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 xml:space="preserve">Согласно действующим нормам СП 30.13330.2010, СП 73.13330.2012. </w:t>
            </w:r>
          </w:p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Выполнить замену трубопроводов, сантехприборов и запорной арматуры.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3.2.2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both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Система отоплени</w:t>
            </w:r>
            <w:smartTag w:uri="urn:schemas-microsoft-com:office:smarttags" w:element="PersonName">
              <w:r w:rsidRPr="00206FAC">
                <w:rPr>
                  <w:rFonts w:ascii="Times New Roman" w:eastAsia="Times New Roman CYR" w:hAnsi="Times New Roman"/>
                </w:rPr>
                <w:t>я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 в соответствии с действующими нормами СНиП 41-01-2008. Предусмотреть замену радиаторов на биметаллические.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3.2.5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06FAC">
              <w:rPr>
                <w:rFonts w:ascii="Times New Roman" w:eastAsia="Times New Roman CYR" w:hAnsi="Times New Roman"/>
              </w:rPr>
              <w:t>Вентиляция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Обследование существующей системы вентиляции с выдачей проектного решения по её ремонту.</w:t>
            </w:r>
          </w:p>
        </w:tc>
      </w:tr>
      <w:tr w:rsidR="00CF3980" w:rsidRPr="00807CEE" w:rsidTr="008D0216">
        <w:tc>
          <w:tcPr>
            <w:tcW w:w="817" w:type="dxa"/>
            <w:shd w:val="clear" w:color="auto" w:fill="auto"/>
          </w:tcPr>
          <w:p w:rsidR="00CF3980" w:rsidRPr="00206FAC" w:rsidRDefault="00CF3980" w:rsidP="008D0216">
            <w:pPr>
              <w:spacing w:after="0"/>
              <w:jc w:val="center"/>
              <w:rPr>
                <w:rFonts w:ascii="Times New Roman" w:hAnsi="Times New Roman"/>
              </w:rPr>
            </w:pPr>
            <w:r w:rsidRPr="00206FAC">
              <w:rPr>
                <w:rFonts w:ascii="Times New Roman" w:hAnsi="Times New Roman"/>
              </w:rPr>
              <w:t>3.2.6</w:t>
            </w:r>
          </w:p>
        </w:tc>
        <w:tc>
          <w:tcPr>
            <w:tcW w:w="3119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Кондиционирование</w:t>
            </w:r>
          </w:p>
        </w:tc>
        <w:tc>
          <w:tcPr>
            <w:tcW w:w="6252" w:type="dxa"/>
            <w:shd w:val="clear" w:color="auto" w:fill="auto"/>
          </w:tcPr>
          <w:p w:rsidR="00CF3980" w:rsidRPr="00206FAC" w:rsidRDefault="00CF3980" w:rsidP="008D0216">
            <w:pPr>
              <w:spacing w:after="0"/>
              <w:rPr>
                <w:rFonts w:ascii="Times New Roman" w:eastAsia="Times New Roman CYR" w:hAnsi="Times New Roman"/>
              </w:rPr>
            </w:pPr>
            <w:r w:rsidRPr="00206FAC">
              <w:rPr>
                <w:rFonts w:ascii="Times New Roman" w:eastAsia="Times New Roman CYR" w:hAnsi="Times New Roman"/>
              </w:rPr>
              <w:t>Предусмотреть возможность установки систем кондиционировани</w:t>
            </w:r>
            <w:smartTag w:uri="urn:schemas-microsoft-com:office:smarttags" w:element="PersonName">
              <w:r w:rsidRPr="00206FAC">
                <w:rPr>
                  <w:rFonts w:ascii="Times New Roman" w:eastAsia="Times New Roman CYR" w:hAnsi="Times New Roman"/>
                </w:rPr>
                <w:t>я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 (мульти сплит-систем).</w:t>
            </w:r>
            <w:r w:rsidRPr="00206FAC">
              <w:rPr>
                <w:rFonts w:ascii="Times New Roman" w:hAnsi="Times New Roman"/>
                <w:color w:val="000000"/>
              </w:rPr>
              <w:t xml:space="preserve"> </w:t>
            </w:r>
            <w:r w:rsidRPr="00206FAC">
              <w:rPr>
                <w:rFonts w:ascii="Times New Roman" w:eastAsia="Times New Roman CYR" w:hAnsi="Times New Roman"/>
              </w:rPr>
              <w:t>Расчет мощности кондиционировани</w:t>
            </w:r>
            <w:smartTag w:uri="urn:schemas-microsoft-com:office:smarttags" w:element="PersonName">
              <w:r w:rsidRPr="00206FAC">
                <w:rPr>
                  <w:rFonts w:ascii="Times New Roman" w:eastAsia="Times New Roman CYR" w:hAnsi="Times New Roman"/>
                </w:rPr>
                <w:t>я</w:t>
              </w:r>
            </w:smartTag>
            <w:r w:rsidRPr="00206FAC">
              <w:rPr>
                <w:rFonts w:ascii="Times New Roman" w:eastAsia="Times New Roman CYR" w:hAnsi="Times New Roman"/>
              </w:rPr>
              <w:t xml:space="preserve"> произвести на основе расчёта всех теплопритоков и с учётом планировочных решений.</w:t>
            </w:r>
          </w:p>
        </w:tc>
      </w:tr>
    </w:tbl>
    <w:p w:rsidR="00CF3980" w:rsidRDefault="00CF3980" w:rsidP="00CF3980">
      <w:pPr>
        <w:pStyle w:val="a3"/>
        <w:tabs>
          <w:tab w:val="left" w:pos="720"/>
        </w:tabs>
        <w:spacing w:after="0" w:line="0" w:lineRule="atLeast"/>
        <w:ind w:left="0"/>
        <w:jc w:val="both"/>
        <w:rPr>
          <w:rFonts w:ascii="Times New Roman" w:hAnsi="Times New Roman"/>
          <w:b/>
          <w:bCs/>
          <w:color w:val="FF0000"/>
        </w:rPr>
      </w:pPr>
    </w:p>
    <w:sectPr w:rsidR="00CF3980" w:rsidSect="00CF3980">
      <w:footerReference w:type="even" r:id="rId7"/>
      <w:footerReference w:type="default" r:id="rId8"/>
      <w:pgSz w:w="11906" w:h="16838"/>
      <w:pgMar w:top="357" w:right="709" w:bottom="1134" w:left="1259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4A" w:rsidRDefault="00BC534A">
      <w:pPr>
        <w:spacing w:after="0" w:line="240" w:lineRule="auto"/>
      </w:pPr>
      <w:r>
        <w:separator/>
      </w:r>
    </w:p>
  </w:endnote>
  <w:endnote w:type="continuationSeparator" w:id="0">
    <w:p w:rsidR="00BC534A" w:rsidRDefault="00BC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91" w:rsidRDefault="00CF3980" w:rsidP="00F147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D91" w:rsidRDefault="00BC534A" w:rsidP="00F147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91" w:rsidRDefault="00CF3980" w:rsidP="00F147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4B2B">
      <w:rPr>
        <w:rStyle w:val="a7"/>
        <w:noProof/>
      </w:rPr>
      <w:t>2</w:t>
    </w:r>
    <w:r>
      <w:rPr>
        <w:rStyle w:val="a7"/>
      </w:rPr>
      <w:fldChar w:fldCharType="end"/>
    </w:r>
  </w:p>
  <w:p w:rsidR="00405D91" w:rsidRDefault="00BC534A" w:rsidP="00F147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4A" w:rsidRDefault="00BC534A">
      <w:pPr>
        <w:spacing w:after="0" w:line="240" w:lineRule="auto"/>
      </w:pPr>
      <w:r>
        <w:separator/>
      </w:r>
    </w:p>
  </w:footnote>
  <w:footnote w:type="continuationSeparator" w:id="0">
    <w:p w:rsidR="00BC534A" w:rsidRDefault="00BC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76CB3"/>
    <w:multiLevelType w:val="hybridMultilevel"/>
    <w:tmpl w:val="D66C708C"/>
    <w:lvl w:ilvl="0" w:tplc="0256D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2E52"/>
    <w:multiLevelType w:val="hybridMultilevel"/>
    <w:tmpl w:val="F77CFA28"/>
    <w:lvl w:ilvl="0" w:tplc="68EE0B3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80"/>
    <w:rsid w:val="00031223"/>
    <w:rsid w:val="00031E5B"/>
    <w:rsid w:val="00034BF8"/>
    <w:rsid w:val="0004305F"/>
    <w:rsid w:val="000435E1"/>
    <w:rsid w:val="0005029A"/>
    <w:rsid w:val="00051D23"/>
    <w:rsid w:val="0006079A"/>
    <w:rsid w:val="00062845"/>
    <w:rsid w:val="00092323"/>
    <w:rsid w:val="000A7820"/>
    <w:rsid w:val="000A7B45"/>
    <w:rsid w:val="000B3AEE"/>
    <w:rsid w:val="000D14FC"/>
    <w:rsid w:val="000D295C"/>
    <w:rsid w:val="000E0D25"/>
    <w:rsid w:val="000E118A"/>
    <w:rsid w:val="000E4BC1"/>
    <w:rsid w:val="000F0615"/>
    <w:rsid w:val="000F42D6"/>
    <w:rsid w:val="000F556A"/>
    <w:rsid w:val="000F57AA"/>
    <w:rsid w:val="000F6C97"/>
    <w:rsid w:val="001231C4"/>
    <w:rsid w:val="001422A2"/>
    <w:rsid w:val="00145A8C"/>
    <w:rsid w:val="00157528"/>
    <w:rsid w:val="00162DBA"/>
    <w:rsid w:val="00175691"/>
    <w:rsid w:val="00177701"/>
    <w:rsid w:val="00180A34"/>
    <w:rsid w:val="00184CDA"/>
    <w:rsid w:val="00194DD5"/>
    <w:rsid w:val="0019651A"/>
    <w:rsid w:val="00196EBC"/>
    <w:rsid w:val="001C5158"/>
    <w:rsid w:val="001C60FC"/>
    <w:rsid w:val="001E1427"/>
    <w:rsid w:val="001E32B8"/>
    <w:rsid w:val="001E571E"/>
    <w:rsid w:val="001F10DA"/>
    <w:rsid w:val="001F137C"/>
    <w:rsid w:val="001F23CC"/>
    <w:rsid w:val="001F4917"/>
    <w:rsid w:val="001F6803"/>
    <w:rsid w:val="001F68AD"/>
    <w:rsid w:val="0021762D"/>
    <w:rsid w:val="00227960"/>
    <w:rsid w:val="0023479E"/>
    <w:rsid w:val="00236A55"/>
    <w:rsid w:val="00245F5B"/>
    <w:rsid w:val="00246068"/>
    <w:rsid w:val="00247E62"/>
    <w:rsid w:val="00251A5A"/>
    <w:rsid w:val="00251ED0"/>
    <w:rsid w:val="00257AEB"/>
    <w:rsid w:val="0027424B"/>
    <w:rsid w:val="002845A3"/>
    <w:rsid w:val="00285B82"/>
    <w:rsid w:val="002910CE"/>
    <w:rsid w:val="00292953"/>
    <w:rsid w:val="002A0D18"/>
    <w:rsid w:val="002B2026"/>
    <w:rsid w:val="002B3906"/>
    <w:rsid w:val="002B7741"/>
    <w:rsid w:val="002D78BE"/>
    <w:rsid w:val="002E0293"/>
    <w:rsid w:val="002E6507"/>
    <w:rsid w:val="002F0B33"/>
    <w:rsid w:val="002F401B"/>
    <w:rsid w:val="00300B00"/>
    <w:rsid w:val="00317FCF"/>
    <w:rsid w:val="0032328A"/>
    <w:rsid w:val="003321C7"/>
    <w:rsid w:val="00333608"/>
    <w:rsid w:val="00335BC3"/>
    <w:rsid w:val="00363CAD"/>
    <w:rsid w:val="00373DEA"/>
    <w:rsid w:val="003756A4"/>
    <w:rsid w:val="003778E6"/>
    <w:rsid w:val="00386A41"/>
    <w:rsid w:val="00387D59"/>
    <w:rsid w:val="003A1D9F"/>
    <w:rsid w:val="003A5171"/>
    <w:rsid w:val="003C1617"/>
    <w:rsid w:val="003C3060"/>
    <w:rsid w:val="003E0E94"/>
    <w:rsid w:val="003E7BEC"/>
    <w:rsid w:val="00401190"/>
    <w:rsid w:val="00402395"/>
    <w:rsid w:val="00411334"/>
    <w:rsid w:val="004133CE"/>
    <w:rsid w:val="00420E35"/>
    <w:rsid w:val="00425BEC"/>
    <w:rsid w:val="00426355"/>
    <w:rsid w:val="004275DE"/>
    <w:rsid w:val="00431136"/>
    <w:rsid w:val="00432E6E"/>
    <w:rsid w:val="00440D35"/>
    <w:rsid w:val="00442F9D"/>
    <w:rsid w:val="00444BA1"/>
    <w:rsid w:val="00446D8B"/>
    <w:rsid w:val="004510A1"/>
    <w:rsid w:val="0045422E"/>
    <w:rsid w:val="0045486A"/>
    <w:rsid w:val="00460B9E"/>
    <w:rsid w:val="00466944"/>
    <w:rsid w:val="00467234"/>
    <w:rsid w:val="00473CF6"/>
    <w:rsid w:val="00484859"/>
    <w:rsid w:val="00491132"/>
    <w:rsid w:val="0049118C"/>
    <w:rsid w:val="0049216C"/>
    <w:rsid w:val="00493603"/>
    <w:rsid w:val="00497439"/>
    <w:rsid w:val="004A13B5"/>
    <w:rsid w:val="004A1568"/>
    <w:rsid w:val="004A2A33"/>
    <w:rsid w:val="004A4CF1"/>
    <w:rsid w:val="004A5511"/>
    <w:rsid w:val="004B3846"/>
    <w:rsid w:val="004B5030"/>
    <w:rsid w:val="004C6C89"/>
    <w:rsid w:val="004D20B0"/>
    <w:rsid w:val="004E4330"/>
    <w:rsid w:val="004E5645"/>
    <w:rsid w:val="004E5A0B"/>
    <w:rsid w:val="004F7F1A"/>
    <w:rsid w:val="00512782"/>
    <w:rsid w:val="005151ED"/>
    <w:rsid w:val="00520AC3"/>
    <w:rsid w:val="00520DB2"/>
    <w:rsid w:val="00534BC6"/>
    <w:rsid w:val="005401BE"/>
    <w:rsid w:val="005450F4"/>
    <w:rsid w:val="005662F2"/>
    <w:rsid w:val="00567E17"/>
    <w:rsid w:val="00570ADF"/>
    <w:rsid w:val="00582679"/>
    <w:rsid w:val="00597F2D"/>
    <w:rsid w:val="005B00A4"/>
    <w:rsid w:val="005C40A5"/>
    <w:rsid w:val="005C4F5B"/>
    <w:rsid w:val="005C6DD8"/>
    <w:rsid w:val="005D2842"/>
    <w:rsid w:val="005E055D"/>
    <w:rsid w:val="005E2EDB"/>
    <w:rsid w:val="005E52AD"/>
    <w:rsid w:val="0060089B"/>
    <w:rsid w:val="00602B9E"/>
    <w:rsid w:val="00604208"/>
    <w:rsid w:val="00605625"/>
    <w:rsid w:val="00630D63"/>
    <w:rsid w:val="006479DC"/>
    <w:rsid w:val="00653EE7"/>
    <w:rsid w:val="00655C75"/>
    <w:rsid w:val="00670DCE"/>
    <w:rsid w:val="00675F52"/>
    <w:rsid w:val="00681884"/>
    <w:rsid w:val="00681AD1"/>
    <w:rsid w:val="00691B2B"/>
    <w:rsid w:val="0069360A"/>
    <w:rsid w:val="00694A68"/>
    <w:rsid w:val="006A0FF7"/>
    <w:rsid w:val="006B3B92"/>
    <w:rsid w:val="006D1EEE"/>
    <w:rsid w:val="006D62BC"/>
    <w:rsid w:val="006E0298"/>
    <w:rsid w:val="006E2722"/>
    <w:rsid w:val="006E3F4E"/>
    <w:rsid w:val="006E5D7D"/>
    <w:rsid w:val="006E61B9"/>
    <w:rsid w:val="006F6981"/>
    <w:rsid w:val="006F7D32"/>
    <w:rsid w:val="007035A8"/>
    <w:rsid w:val="00704FBA"/>
    <w:rsid w:val="00707437"/>
    <w:rsid w:val="007125DB"/>
    <w:rsid w:val="00714E46"/>
    <w:rsid w:val="00715D66"/>
    <w:rsid w:val="007247C8"/>
    <w:rsid w:val="007277B6"/>
    <w:rsid w:val="00741E0B"/>
    <w:rsid w:val="00756A8C"/>
    <w:rsid w:val="00757B6B"/>
    <w:rsid w:val="00761257"/>
    <w:rsid w:val="0076773B"/>
    <w:rsid w:val="00767BF0"/>
    <w:rsid w:val="00771011"/>
    <w:rsid w:val="00793C9E"/>
    <w:rsid w:val="00794C9E"/>
    <w:rsid w:val="007B728C"/>
    <w:rsid w:val="007E0A24"/>
    <w:rsid w:val="007E7463"/>
    <w:rsid w:val="007F7D81"/>
    <w:rsid w:val="0080510D"/>
    <w:rsid w:val="00807505"/>
    <w:rsid w:val="0080784F"/>
    <w:rsid w:val="008205F7"/>
    <w:rsid w:val="008207E3"/>
    <w:rsid w:val="008221D6"/>
    <w:rsid w:val="00827E72"/>
    <w:rsid w:val="00833DDA"/>
    <w:rsid w:val="008346FD"/>
    <w:rsid w:val="00850A78"/>
    <w:rsid w:val="00852CBD"/>
    <w:rsid w:val="00872DF1"/>
    <w:rsid w:val="008806D2"/>
    <w:rsid w:val="00884C60"/>
    <w:rsid w:val="008929D1"/>
    <w:rsid w:val="008936F7"/>
    <w:rsid w:val="00893B8B"/>
    <w:rsid w:val="00895B5A"/>
    <w:rsid w:val="008A6CD6"/>
    <w:rsid w:val="008B6D45"/>
    <w:rsid w:val="008C67FF"/>
    <w:rsid w:val="008C691B"/>
    <w:rsid w:val="008E5089"/>
    <w:rsid w:val="008E5BCB"/>
    <w:rsid w:val="008E5FFD"/>
    <w:rsid w:val="008E614E"/>
    <w:rsid w:val="008F19B8"/>
    <w:rsid w:val="008F2A0B"/>
    <w:rsid w:val="008F6A81"/>
    <w:rsid w:val="00904070"/>
    <w:rsid w:val="009168D9"/>
    <w:rsid w:val="00924402"/>
    <w:rsid w:val="00937824"/>
    <w:rsid w:val="00942858"/>
    <w:rsid w:val="00952EA4"/>
    <w:rsid w:val="00955320"/>
    <w:rsid w:val="00960DB0"/>
    <w:rsid w:val="00962157"/>
    <w:rsid w:val="00965748"/>
    <w:rsid w:val="00965DCA"/>
    <w:rsid w:val="009702CE"/>
    <w:rsid w:val="0097122B"/>
    <w:rsid w:val="009827CA"/>
    <w:rsid w:val="0098676A"/>
    <w:rsid w:val="0099512E"/>
    <w:rsid w:val="009A0730"/>
    <w:rsid w:val="009A49D9"/>
    <w:rsid w:val="009A5582"/>
    <w:rsid w:val="009C62CA"/>
    <w:rsid w:val="009D3D68"/>
    <w:rsid w:val="009E5119"/>
    <w:rsid w:val="009F420C"/>
    <w:rsid w:val="009F481A"/>
    <w:rsid w:val="00A01E07"/>
    <w:rsid w:val="00A03809"/>
    <w:rsid w:val="00A07500"/>
    <w:rsid w:val="00A35EC9"/>
    <w:rsid w:val="00A4561F"/>
    <w:rsid w:val="00A47D4D"/>
    <w:rsid w:val="00A54FFB"/>
    <w:rsid w:val="00A5593A"/>
    <w:rsid w:val="00A56B00"/>
    <w:rsid w:val="00A60375"/>
    <w:rsid w:val="00A60BE1"/>
    <w:rsid w:val="00A6237F"/>
    <w:rsid w:val="00A65C66"/>
    <w:rsid w:val="00AB2C7B"/>
    <w:rsid w:val="00AB655F"/>
    <w:rsid w:val="00AC4CEF"/>
    <w:rsid w:val="00AC694D"/>
    <w:rsid w:val="00AD68BD"/>
    <w:rsid w:val="00AF6AEB"/>
    <w:rsid w:val="00B03D01"/>
    <w:rsid w:val="00B06E56"/>
    <w:rsid w:val="00B14324"/>
    <w:rsid w:val="00B169AA"/>
    <w:rsid w:val="00B32588"/>
    <w:rsid w:val="00B46508"/>
    <w:rsid w:val="00B67AF4"/>
    <w:rsid w:val="00B81744"/>
    <w:rsid w:val="00B8287A"/>
    <w:rsid w:val="00B8539D"/>
    <w:rsid w:val="00B9296A"/>
    <w:rsid w:val="00BA086C"/>
    <w:rsid w:val="00BA1092"/>
    <w:rsid w:val="00BB3040"/>
    <w:rsid w:val="00BC534A"/>
    <w:rsid w:val="00BC7768"/>
    <w:rsid w:val="00BD22DB"/>
    <w:rsid w:val="00BD3211"/>
    <w:rsid w:val="00BD3376"/>
    <w:rsid w:val="00BD5E47"/>
    <w:rsid w:val="00BD7B29"/>
    <w:rsid w:val="00BE1039"/>
    <w:rsid w:val="00BE11C3"/>
    <w:rsid w:val="00BF38C6"/>
    <w:rsid w:val="00BF7A03"/>
    <w:rsid w:val="00C106A5"/>
    <w:rsid w:val="00C11187"/>
    <w:rsid w:val="00C171F6"/>
    <w:rsid w:val="00C2221F"/>
    <w:rsid w:val="00C25114"/>
    <w:rsid w:val="00C30613"/>
    <w:rsid w:val="00C312CB"/>
    <w:rsid w:val="00C37625"/>
    <w:rsid w:val="00C54A68"/>
    <w:rsid w:val="00C55E3B"/>
    <w:rsid w:val="00C742F8"/>
    <w:rsid w:val="00CA1512"/>
    <w:rsid w:val="00CB2EE7"/>
    <w:rsid w:val="00CB3F52"/>
    <w:rsid w:val="00CC062B"/>
    <w:rsid w:val="00CC78BA"/>
    <w:rsid w:val="00CD02A4"/>
    <w:rsid w:val="00CD0C2A"/>
    <w:rsid w:val="00CE4491"/>
    <w:rsid w:val="00CF3980"/>
    <w:rsid w:val="00D10666"/>
    <w:rsid w:val="00D23418"/>
    <w:rsid w:val="00D3156B"/>
    <w:rsid w:val="00D740C6"/>
    <w:rsid w:val="00D756DA"/>
    <w:rsid w:val="00D91780"/>
    <w:rsid w:val="00DA7908"/>
    <w:rsid w:val="00DD27A5"/>
    <w:rsid w:val="00DE2052"/>
    <w:rsid w:val="00DF51B3"/>
    <w:rsid w:val="00DF69F5"/>
    <w:rsid w:val="00E06F3B"/>
    <w:rsid w:val="00E07912"/>
    <w:rsid w:val="00E13DA0"/>
    <w:rsid w:val="00E17644"/>
    <w:rsid w:val="00E17D16"/>
    <w:rsid w:val="00E409F6"/>
    <w:rsid w:val="00E47E5B"/>
    <w:rsid w:val="00E53949"/>
    <w:rsid w:val="00E6070D"/>
    <w:rsid w:val="00E6172C"/>
    <w:rsid w:val="00E63CA2"/>
    <w:rsid w:val="00E65EF7"/>
    <w:rsid w:val="00E70A13"/>
    <w:rsid w:val="00E7178B"/>
    <w:rsid w:val="00E7398F"/>
    <w:rsid w:val="00E81CAE"/>
    <w:rsid w:val="00E91F71"/>
    <w:rsid w:val="00EB470F"/>
    <w:rsid w:val="00EB64CD"/>
    <w:rsid w:val="00EC19CE"/>
    <w:rsid w:val="00EC36DD"/>
    <w:rsid w:val="00ED58E7"/>
    <w:rsid w:val="00ED7F1B"/>
    <w:rsid w:val="00EE49EC"/>
    <w:rsid w:val="00EF0973"/>
    <w:rsid w:val="00EF0CAB"/>
    <w:rsid w:val="00EF4220"/>
    <w:rsid w:val="00EF4B2B"/>
    <w:rsid w:val="00F0361F"/>
    <w:rsid w:val="00F03708"/>
    <w:rsid w:val="00F148ED"/>
    <w:rsid w:val="00F14A11"/>
    <w:rsid w:val="00F159AC"/>
    <w:rsid w:val="00F21FFE"/>
    <w:rsid w:val="00F25BD4"/>
    <w:rsid w:val="00F3625B"/>
    <w:rsid w:val="00F40EA6"/>
    <w:rsid w:val="00F50838"/>
    <w:rsid w:val="00F5117E"/>
    <w:rsid w:val="00F61CA2"/>
    <w:rsid w:val="00F62798"/>
    <w:rsid w:val="00F735F1"/>
    <w:rsid w:val="00F82577"/>
    <w:rsid w:val="00F87CC4"/>
    <w:rsid w:val="00F97AE3"/>
    <w:rsid w:val="00FA2E42"/>
    <w:rsid w:val="00FA7629"/>
    <w:rsid w:val="00FB2FD7"/>
    <w:rsid w:val="00FB353D"/>
    <w:rsid w:val="00FB7247"/>
    <w:rsid w:val="00FC5DCB"/>
    <w:rsid w:val="00FE0021"/>
    <w:rsid w:val="00FF0814"/>
    <w:rsid w:val="00FF1884"/>
    <w:rsid w:val="00FF2EF0"/>
    <w:rsid w:val="00FF3E2E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E0DA-BCF4-42B8-B6FB-242D4FBC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80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39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3980"/>
    <w:rPr>
      <w:rFonts w:ascii="Calibri" w:eastAsia="Times New Roman" w:hAnsi="Calibri" w:cs="Times New Roman"/>
      <w:kern w:val="1"/>
      <w:lang w:eastAsia="ar-SA"/>
    </w:rPr>
  </w:style>
  <w:style w:type="paragraph" w:styleId="a5">
    <w:name w:val="footer"/>
    <w:basedOn w:val="a"/>
    <w:link w:val="a6"/>
    <w:rsid w:val="00CF3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3980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rsid w:val="00CF3980"/>
  </w:style>
  <w:style w:type="paragraph" w:styleId="a8">
    <w:name w:val="List"/>
    <w:basedOn w:val="a"/>
    <w:rsid w:val="00CF3980"/>
    <w:pPr>
      <w:widowControl w:val="0"/>
      <w:spacing w:after="12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2016-09-20T11:54:00Z</dcterms:created>
  <dcterms:modified xsi:type="dcterms:W3CDTF">2016-09-20T11:54:00Z</dcterms:modified>
</cp:coreProperties>
</file>