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104"/>
        <w:gridCol w:w="6081"/>
      </w:tblGrid>
      <w:tr w:rsidR="00610D0F" w:rsidRPr="0030624D" w:rsidTr="001259DD">
        <w:trPr>
          <w:trHeight w:val="454"/>
          <w:tblHeader/>
          <w:jc w:val="center"/>
        </w:trPr>
        <w:tc>
          <w:tcPr>
            <w:tcW w:w="587" w:type="dxa"/>
          </w:tcPr>
          <w:p w:rsidR="00610D0F" w:rsidRPr="00CC2518" w:rsidRDefault="00610D0F" w:rsidP="001259DD">
            <w:pPr>
              <w:jc w:val="center"/>
              <w:rPr>
                <w:b/>
              </w:rPr>
            </w:pPr>
            <w:r w:rsidRPr="00CC2518">
              <w:rPr>
                <w:b/>
              </w:rPr>
              <w:t>№</w:t>
            </w:r>
          </w:p>
          <w:p w:rsidR="00610D0F" w:rsidRPr="00CC2518" w:rsidRDefault="00610D0F" w:rsidP="001259DD">
            <w:pPr>
              <w:jc w:val="center"/>
              <w:rPr>
                <w:b/>
              </w:rPr>
            </w:pPr>
            <w:proofErr w:type="spellStart"/>
            <w:proofErr w:type="gramStart"/>
            <w:r w:rsidRPr="00CC2518">
              <w:rPr>
                <w:b/>
              </w:rPr>
              <w:t>п</w:t>
            </w:r>
            <w:proofErr w:type="spellEnd"/>
            <w:proofErr w:type="gramEnd"/>
            <w:r w:rsidRPr="00CC2518">
              <w:rPr>
                <w:b/>
              </w:rPr>
              <w:t>/</w:t>
            </w:r>
            <w:proofErr w:type="spellStart"/>
            <w:r w:rsidRPr="00CC2518">
              <w:rPr>
                <w:b/>
              </w:rPr>
              <w:t>п</w:t>
            </w:r>
            <w:proofErr w:type="spellEnd"/>
          </w:p>
        </w:tc>
        <w:tc>
          <w:tcPr>
            <w:tcW w:w="3104" w:type="dxa"/>
          </w:tcPr>
          <w:p w:rsidR="00610D0F" w:rsidRPr="0030624D" w:rsidRDefault="00610D0F" w:rsidP="001259DD">
            <w:pPr>
              <w:ind w:left="-397"/>
              <w:jc w:val="center"/>
              <w:rPr>
                <w:b/>
              </w:rPr>
            </w:pPr>
            <w:r w:rsidRPr="0030624D">
              <w:rPr>
                <w:b/>
              </w:rPr>
              <w:t xml:space="preserve">Наименование этапов </w:t>
            </w:r>
            <w:r w:rsidRPr="0030624D">
              <w:rPr>
                <w:b/>
              </w:rPr>
              <w:br/>
              <w:t>задания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ind w:right="-57"/>
              <w:jc w:val="center"/>
              <w:rPr>
                <w:b/>
                <w:lang w:val="en-US"/>
              </w:rPr>
            </w:pPr>
            <w:r w:rsidRPr="0030624D">
              <w:rPr>
                <w:b/>
              </w:rPr>
              <w:t>Содержание этапов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ind w:firstLine="19"/>
              <w:jc w:val="both"/>
              <w:rPr>
                <w:b/>
              </w:rPr>
            </w:pPr>
            <w:r w:rsidRPr="0030624D">
              <w:rPr>
                <w:b/>
              </w:rPr>
              <w:t>Основание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spacing w:after="120"/>
            </w:pPr>
            <w:r w:rsidRPr="0030624D">
              <w:t xml:space="preserve">Программа </w:t>
            </w:r>
            <w:r>
              <w:t>по повышению надежности электроснабжения потребителей ТП-1620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 xml:space="preserve">Район, место </w:t>
            </w:r>
          </w:p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проведения работ</w:t>
            </w:r>
            <w:r>
              <w:rPr>
                <w:b/>
              </w:rPr>
              <w:t xml:space="preserve"> (при реализации проекта)</w:t>
            </w:r>
          </w:p>
        </w:tc>
        <w:tc>
          <w:tcPr>
            <w:tcW w:w="6081" w:type="dxa"/>
          </w:tcPr>
          <w:p w:rsidR="00610D0F" w:rsidRDefault="00610D0F" w:rsidP="001259DD">
            <w:pPr>
              <w:ind w:right="-57"/>
              <w:jc w:val="both"/>
            </w:pPr>
            <w:r w:rsidRPr="0030624D">
              <w:t xml:space="preserve">РФ, </w:t>
            </w:r>
            <w:r>
              <w:t>Свердловская область</w:t>
            </w:r>
            <w:r w:rsidRPr="0030624D">
              <w:t xml:space="preserve">, </w:t>
            </w:r>
            <w:r>
              <w:t>город Екатеринбург</w:t>
            </w:r>
            <w:r w:rsidRPr="0030624D">
              <w:t>,</w:t>
            </w:r>
            <w:r>
              <w:t xml:space="preserve"> </w:t>
            </w:r>
          </w:p>
          <w:p w:rsidR="00610D0F" w:rsidRPr="0030624D" w:rsidRDefault="00610D0F" w:rsidP="001259DD">
            <w:pPr>
              <w:ind w:right="-57"/>
              <w:jc w:val="both"/>
            </w:pP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Вид строительства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ind w:right="-57"/>
              <w:jc w:val="both"/>
            </w:pPr>
            <w:r w:rsidRPr="0030624D">
              <w:t>Техническое перевооружение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Стадийность проектирования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ind w:right="-57"/>
              <w:jc w:val="both"/>
            </w:pPr>
            <w:r>
              <w:t xml:space="preserve">В одну стадию: разработка рабочей документации </w:t>
            </w:r>
          </w:p>
        </w:tc>
      </w:tr>
      <w:tr w:rsidR="00610D0F" w:rsidRPr="0030624D" w:rsidTr="001259DD">
        <w:trPr>
          <w:trHeight w:val="315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 xml:space="preserve">Сроки выполнения работ 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ind w:right="-57"/>
              <w:jc w:val="both"/>
            </w:pPr>
            <w:r w:rsidRPr="005C199A">
              <w:t xml:space="preserve">60 (шестьдесят) дней </w:t>
            </w:r>
            <w:proofErr w:type="gramStart"/>
            <w:r w:rsidRPr="005C199A">
              <w:t>с даты заключения</w:t>
            </w:r>
            <w:proofErr w:type="gramEnd"/>
            <w:r w:rsidRPr="005C199A">
              <w:t xml:space="preserve"> договора</w:t>
            </w:r>
          </w:p>
        </w:tc>
      </w:tr>
      <w:tr w:rsidR="00610D0F" w:rsidRPr="0030624D" w:rsidTr="001259DD">
        <w:trPr>
          <w:trHeight w:val="1369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 xml:space="preserve">Исходные данные </w:t>
            </w:r>
          </w:p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Заказчика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shd w:val="clear" w:color="auto" w:fill="FFFFFF"/>
              <w:tabs>
                <w:tab w:val="left" w:pos="317"/>
              </w:tabs>
              <w:spacing w:after="120"/>
              <w:ind w:left="34"/>
              <w:jc w:val="both"/>
            </w:pPr>
            <w:r w:rsidRPr="0030624D">
              <w:rPr>
                <w:spacing w:val="-1"/>
              </w:rPr>
              <w:t>Заказчик предостав</w:t>
            </w:r>
            <w:r>
              <w:rPr>
                <w:spacing w:val="-1"/>
              </w:rPr>
              <w:t xml:space="preserve">ляет </w:t>
            </w:r>
            <w:r w:rsidRPr="0030624D">
              <w:rPr>
                <w:spacing w:val="-1"/>
              </w:rPr>
              <w:t>всю имеющуюся документацию</w:t>
            </w:r>
            <w:r>
              <w:rPr>
                <w:spacing w:val="-1"/>
              </w:rPr>
              <w:t>, включая Технические условия для присоединения (приложение к описанию объекта закупки)</w:t>
            </w:r>
            <w:r w:rsidRPr="0030624D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10D0F" w:rsidRPr="0030624D" w:rsidRDefault="00610D0F" w:rsidP="001259DD">
            <w:pPr>
              <w:shd w:val="clear" w:color="auto" w:fill="FFFFFF"/>
              <w:tabs>
                <w:tab w:val="left" w:pos="317"/>
              </w:tabs>
              <w:spacing w:after="120"/>
              <w:ind w:left="34"/>
              <w:jc w:val="both"/>
              <w:rPr>
                <w:spacing w:val="-1"/>
              </w:rPr>
            </w:pPr>
            <w:r w:rsidRPr="0030624D">
              <w:rPr>
                <w:spacing w:val="-1"/>
              </w:rPr>
              <w:t xml:space="preserve">Подрядчик проводит </w:t>
            </w:r>
            <w:proofErr w:type="spellStart"/>
            <w:r w:rsidRPr="0030624D">
              <w:rPr>
                <w:spacing w:val="-1"/>
              </w:rPr>
              <w:t>предпроектное</w:t>
            </w:r>
            <w:proofErr w:type="spellEnd"/>
            <w:r w:rsidRPr="0030624D">
              <w:rPr>
                <w:spacing w:val="-1"/>
              </w:rPr>
              <w:t xml:space="preserve"> обследование объекта (сбор исходных данных выполняется проектной организацией с выездом на объект).</w:t>
            </w:r>
          </w:p>
          <w:p w:rsidR="00610D0F" w:rsidRPr="0030624D" w:rsidRDefault="00610D0F" w:rsidP="001259DD">
            <w:pPr>
              <w:shd w:val="clear" w:color="auto" w:fill="FFFFFF"/>
              <w:tabs>
                <w:tab w:val="left" w:pos="317"/>
              </w:tabs>
              <w:spacing w:before="120" w:after="60"/>
              <w:ind w:left="34"/>
              <w:jc w:val="both"/>
              <w:rPr>
                <w:spacing w:val="-1"/>
              </w:rPr>
            </w:pPr>
            <w:r w:rsidRPr="0030624D">
              <w:rPr>
                <w:spacing w:val="-1"/>
              </w:rPr>
              <w:t xml:space="preserve">В случае неполноты или </w:t>
            </w:r>
            <w:proofErr w:type="gramStart"/>
            <w:r w:rsidRPr="0030624D">
              <w:rPr>
                <w:spacing w:val="-1"/>
              </w:rPr>
              <w:t>отсутстви</w:t>
            </w:r>
            <w:r>
              <w:rPr>
                <w:spacing w:val="-1"/>
              </w:rPr>
              <w:t>я</w:t>
            </w:r>
            <w:proofErr w:type="gramEnd"/>
            <w:r w:rsidRPr="0030624D">
              <w:rPr>
                <w:spacing w:val="-1"/>
              </w:rPr>
              <w:t xml:space="preserve"> какой либо инфо</w:t>
            </w:r>
            <w:r>
              <w:rPr>
                <w:spacing w:val="-1"/>
              </w:rPr>
              <w:t>рмации</w:t>
            </w:r>
            <w:r w:rsidRPr="0030624D">
              <w:rPr>
                <w:spacing w:val="-1"/>
              </w:rPr>
              <w:t xml:space="preserve"> </w:t>
            </w:r>
            <w:r>
              <w:rPr>
                <w:spacing w:val="-1"/>
              </w:rPr>
              <w:t>И</w:t>
            </w:r>
            <w:r w:rsidRPr="0030624D">
              <w:rPr>
                <w:spacing w:val="-1"/>
              </w:rPr>
              <w:t>сполнитель разрабатывает её самостоятельно и за свой счет.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610D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Объем работ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shd w:val="clear" w:color="auto" w:fill="FFFFFF"/>
              <w:tabs>
                <w:tab w:val="num" w:pos="927"/>
              </w:tabs>
              <w:spacing w:after="120"/>
              <w:ind w:left="34"/>
              <w:jc w:val="both"/>
            </w:pPr>
            <w:r>
              <w:t xml:space="preserve">Проектом предусмотреть: 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Два взаимно – резервируемых источника питания на ТП-1620. </w:t>
            </w:r>
            <w:r w:rsidRPr="0030624D">
              <w:t xml:space="preserve"> 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>Секционированную выключателем систему шин в РУ-6 кВ.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>Вакуумные выключатели в качестве коммутационных аппаратов.</w:t>
            </w:r>
            <w:r w:rsidRPr="0030624D">
              <w:t xml:space="preserve"> 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>С</w:t>
            </w:r>
            <w:r w:rsidRPr="0030624D">
              <w:t xml:space="preserve">ухие </w:t>
            </w:r>
            <w:r>
              <w:t xml:space="preserve">силовые </w:t>
            </w:r>
            <w:r w:rsidRPr="0030624D">
              <w:t>тр</w:t>
            </w:r>
            <w:r>
              <w:t>ансформаторы</w:t>
            </w:r>
            <w:r w:rsidRPr="0030624D">
              <w:t xml:space="preserve"> с системой мониторинга температуры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>Релейную защиту, автоматику и сигнализацию выполнить на базе микропроцессорных устройств РЗА.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Систему освещения помещения ТП-1620</w:t>
            </w:r>
            <w:r w:rsidRPr="0030624D">
              <w:t>. Освещение выполнить светодиодными светильниками.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>На этапе проектирования разработать логику работы микропроцессорных устройств.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Выполнить расчет токов короткого замыкания, в том числе на </w:t>
            </w:r>
            <w:proofErr w:type="gramStart"/>
            <w:r>
              <w:t>питающей</w:t>
            </w:r>
            <w:proofErr w:type="gramEnd"/>
            <w:r>
              <w:t xml:space="preserve"> ПС 35 кВ «УПИ».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В качестве оперативного тока принять постоянный оперативный ток. В качестве источника постоянного оперативного тока запроектировать шкаф оперативного тока на аккумуляторных батареях. 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lastRenderedPageBreak/>
              <w:t>Проектом рассмотреть вариант з</w:t>
            </w:r>
            <w:r w:rsidRPr="0030624D">
              <w:t>амен</w:t>
            </w:r>
            <w:r>
              <w:t>ы</w:t>
            </w:r>
            <w:r w:rsidRPr="0030624D">
              <w:t xml:space="preserve"> существующих НКУ-0,4 кВ, силовых трансформаторов  и высоковольтных </w:t>
            </w:r>
            <w:r>
              <w:t>ячеек.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>Оптимизировать схемы распределения  эл</w:t>
            </w:r>
            <w:r>
              <w:t>ектрической</w:t>
            </w:r>
            <w:r w:rsidRPr="0030624D">
              <w:t xml:space="preserve"> энергии в </w:t>
            </w:r>
            <w:r>
              <w:t xml:space="preserve">РУ 0,4 кВ </w:t>
            </w:r>
            <w:r w:rsidRPr="0030624D">
              <w:t>ТП-1</w:t>
            </w:r>
            <w:r>
              <w:t>620</w:t>
            </w:r>
            <w:r w:rsidRPr="0030624D">
              <w:t xml:space="preserve"> (во</w:t>
            </w:r>
            <w:r>
              <w:t>зможно уменьшить кол-во щитов).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 xml:space="preserve">Шкафы НКУ должны быть однорядными, шкафного типа,  </w:t>
            </w:r>
            <w:r>
              <w:t>одно</w:t>
            </w:r>
            <w:r w:rsidRPr="0030624D">
              <w:t xml:space="preserve">стороннего обслуживания. Ячейки с </w:t>
            </w:r>
            <w:r>
              <w:t xml:space="preserve">модульными </w:t>
            </w:r>
            <w:proofErr w:type="spellStart"/>
            <w:r w:rsidRPr="0030624D">
              <w:t>выкатными</w:t>
            </w:r>
            <w:proofErr w:type="spellEnd"/>
            <w:r w:rsidRPr="0030624D">
              <w:t xml:space="preserve"> </w:t>
            </w:r>
            <w:r>
              <w:t>выключателями</w:t>
            </w:r>
            <w:r w:rsidRPr="0030624D">
              <w:t>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>Прокладку кабелей выполнить в существующих кабельных каналах. В случае отсутствия свободных кабельных полок проектом предусмотреть дополнительные. В случае необходимости выполнить кабельные эстакады.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  <w:tab w:val="num" w:pos="1260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 xml:space="preserve">Силовые и контрольные кабели, которые по всей длине прокладываются только в помещениях с нормальной (невзрывоопасной) средой, должны быть с медными жилами, не бронированные, не распространяющие горение (категория "А" по ГОСТ IEC 60332-3-22-2005), с пониженным </w:t>
            </w:r>
            <w:proofErr w:type="spellStart"/>
            <w:r w:rsidRPr="0030624D">
              <w:t>дым</w:t>
            </w:r>
            <w:proofErr w:type="gramStart"/>
            <w:r w:rsidRPr="0030624D">
              <w:t>о</w:t>
            </w:r>
            <w:proofErr w:type="spellEnd"/>
            <w:r w:rsidRPr="0030624D">
              <w:t>-</w:t>
            </w:r>
            <w:proofErr w:type="gramEnd"/>
            <w:r w:rsidRPr="0030624D">
              <w:t xml:space="preserve"> и </w:t>
            </w:r>
            <w:proofErr w:type="spellStart"/>
            <w:r w:rsidRPr="0030624D">
              <w:t>газовыделением</w:t>
            </w:r>
            <w:proofErr w:type="spellEnd"/>
            <w:r w:rsidRPr="0030624D">
              <w:t xml:space="preserve"> (LS). Силовые и контрольные кабели, которые прокладываются и за пределы помещений с нормальной средой, должны быть бронированными, с медными жилами, не распространяющие горение (категория "А" по ГОСТ IEC 60332-3-22-2005), с пониженным </w:t>
            </w:r>
            <w:proofErr w:type="spellStart"/>
            <w:r w:rsidRPr="0030624D">
              <w:t>дым</w:t>
            </w:r>
            <w:proofErr w:type="gramStart"/>
            <w:r w:rsidRPr="0030624D">
              <w:t>о</w:t>
            </w:r>
            <w:proofErr w:type="spellEnd"/>
            <w:r w:rsidRPr="0030624D">
              <w:t>-</w:t>
            </w:r>
            <w:proofErr w:type="gramEnd"/>
            <w:r w:rsidRPr="0030624D">
              <w:t xml:space="preserve"> и </w:t>
            </w:r>
            <w:proofErr w:type="spellStart"/>
            <w:r w:rsidRPr="0030624D">
              <w:t>газовыделением</w:t>
            </w:r>
            <w:proofErr w:type="spellEnd"/>
            <w:r w:rsidRPr="0030624D">
              <w:t xml:space="preserve"> (LS), с антикоррозионным покрытием. Применение проводов и кабелей с полиэтиленовой изоляцией или оболочкой запрещается.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>Проектом предусмотреть разработку строительной части. В строительной части предусмотреть подготовку оснований под вновь проектируемое оборудование, выравнивание существующего пола, изготовление новых крышек кабельных каналов, восстановление кабельных каналов.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 </w:t>
            </w:r>
            <w:r w:rsidRPr="0030624D">
              <w:t>Предусмотреть в составе р</w:t>
            </w:r>
            <w:r>
              <w:t>абочей документации заземление</w:t>
            </w:r>
            <w:r w:rsidRPr="0030624D">
              <w:t>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 xml:space="preserve">Разработать и согласовать с Заказчиком опросные листы на </w:t>
            </w:r>
            <w:r>
              <w:t>каждую единицу оборудования</w:t>
            </w:r>
            <w:r w:rsidRPr="0030624D">
              <w:t>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459"/>
              </w:tabs>
              <w:spacing w:after="120" w:line="240" w:lineRule="auto"/>
              <w:ind w:firstLine="34"/>
              <w:jc w:val="both"/>
            </w:pPr>
            <w:r>
              <w:t xml:space="preserve"> </w:t>
            </w:r>
            <w:r w:rsidRPr="0030624D">
              <w:t>Производителя, тип о</w:t>
            </w:r>
            <w:r>
              <w:t>борудования, комплектующих, запасных</w:t>
            </w:r>
            <w:r w:rsidRPr="0030624D">
              <w:t xml:space="preserve"> частей и материалов согласовать с Заказчиком на стадии проектирования.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601"/>
              </w:tabs>
              <w:spacing w:after="120" w:line="240" w:lineRule="auto"/>
              <w:ind w:firstLine="34"/>
              <w:jc w:val="both"/>
            </w:pPr>
            <w:r w:rsidRPr="0030624D">
              <w:t xml:space="preserve">В документации выполнить монтажные схемы подключения силовых и контрольных кабелей с указанием точной маркировки </w:t>
            </w:r>
            <w:proofErr w:type="spellStart"/>
            <w:r w:rsidRPr="0030624D">
              <w:t>клеммных</w:t>
            </w:r>
            <w:proofErr w:type="spellEnd"/>
            <w:r w:rsidRPr="0030624D">
              <w:t xml:space="preserve"> соединений.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601"/>
              </w:tabs>
              <w:spacing w:after="120" w:line="240" w:lineRule="auto"/>
              <w:ind w:firstLine="34"/>
              <w:jc w:val="both"/>
            </w:pPr>
            <w:r w:rsidRPr="0030624D">
              <w:t>Документацию разработать в соответствии с действующими нормативными документами и требованиями.</w:t>
            </w:r>
          </w:p>
          <w:p w:rsidR="00610D0F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601"/>
              </w:tabs>
              <w:spacing w:after="120" w:line="240" w:lineRule="auto"/>
              <w:ind w:firstLine="34"/>
              <w:jc w:val="both"/>
            </w:pPr>
            <w:r>
              <w:lastRenderedPageBreak/>
              <w:t xml:space="preserve">Согласовать рабочую документацию с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организацией, выдавшей технические условия (п.1.3.2 Правил технической эксплуатации электроустановок потребителей, приказ Минэнерго РФ от 13.01.2003 № 6);</w:t>
            </w:r>
          </w:p>
          <w:p w:rsidR="00610D0F" w:rsidRPr="0030624D" w:rsidRDefault="00610D0F" w:rsidP="00610D0F">
            <w:pPr>
              <w:numPr>
                <w:ilvl w:val="1"/>
                <w:numId w:val="1"/>
              </w:numPr>
              <w:shd w:val="clear" w:color="auto" w:fill="FFFFFF"/>
              <w:tabs>
                <w:tab w:val="num" w:pos="601"/>
              </w:tabs>
              <w:spacing w:after="120" w:line="240" w:lineRule="auto"/>
              <w:ind w:firstLine="34"/>
              <w:jc w:val="both"/>
            </w:pPr>
            <w:r>
              <w:t xml:space="preserve">Оформленный проект передать в Уральское управление </w:t>
            </w:r>
            <w:proofErr w:type="spellStart"/>
            <w:r>
              <w:t>Ростехнадзора</w:t>
            </w:r>
            <w:proofErr w:type="spellEnd"/>
            <w:r>
              <w:t xml:space="preserve"> для допуска в эксплуатацию энергоустановки (приказ Федеральной службы по экологическому, технологическому и атомному надзору от 07 апреля 2008 года № 212) </w:t>
            </w:r>
          </w:p>
        </w:tc>
      </w:tr>
      <w:tr w:rsidR="00610D0F" w:rsidRPr="0030624D" w:rsidTr="001259DD">
        <w:trPr>
          <w:trHeight w:val="751"/>
          <w:jc w:val="center"/>
        </w:trPr>
        <w:tc>
          <w:tcPr>
            <w:tcW w:w="587" w:type="dxa"/>
          </w:tcPr>
          <w:p w:rsidR="00610D0F" w:rsidRPr="00CC2518" w:rsidRDefault="00610D0F" w:rsidP="001259D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Особые условия</w:t>
            </w:r>
          </w:p>
        </w:tc>
        <w:tc>
          <w:tcPr>
            <w:tcW w:w="6081" w:type="dxa"/>
          </w:tcPr>
          <w:p w:rsidR="00610D0F" w:rsidRPr="00050850" w:rsidRDefault="00610D0F" w:rsidP="00610D0F">
            <w:pPr>
              <w:pStyle w:val="a3"/>
              <w:numPr>
                <w:ilvl w:val="1"/>
                <w:numId w:val="2"/>
              </w:numPr>
              <w:suppressAutoHyphens w:val="0"/>
              <w:ind w:righ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 xml:space="preserve">Рабочую документацию разбить на 2 </w:t>
            </w:r>
            <w:proofErr w:type="gramStart"/>
            <w:r w:rsidRPr="00050850">
              <w:rPr>
                <w:rFonts w:ascii="Times New Roman" w:hAnsi="Times New Roman"/>
                <w:sz w:val="24"/>
                <w:szCs w:val="24"/>
              </w:rPr>
              <w:t>пусковых</w:t>
            </w:r>
            <w:proofErr w:type="gramEnd"/>
            <w:r w:rsidRPr="00050850">
              <w:rPr>
                <w:rFonts w:ascii="Times New Roman" w:hAnsi="Times New Roman"/>
                <w:sz w:val="24"/>
                <w:szCs w:val="24"/>
              </w:rPr>
              <w:t xml:space="preserve"> комплекса.</w:t>
            </w:r>
          </w:p>
          <w:p w:rsidR="00610D0F" w:rsidRPr="00050850" w:rsidRDefault="00610D0F" w:rsidP="00610D0F">
            <w:pPr>
              <w:pStyle w:val="a3"/>
              <w:numPr>
                <w:ilvl w:val="1"/>
                <w:numId w:val="2"/>
              </w:numPr>
              <w:suppressAutoHyphens w:val="0"/>
              <w:ind w:right="0"/>
              <w:contextualSpacing/>
              <w:rPr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>Объем пусковых комплексов согласовать с Заказчиком.</w:t>
            </w:r>
          </w:p>
          <w:p w:rsidR="00610D0F" w:rsidRPr="00050850" w:rsidRDefault="00610D0F" w:rsidP="00610D0F">
            <w:pPr>
              <w:pStyle w:val="a3"/>
              <w:numPr>
                <w:ilvl w:val="1"/>
                <w:numId w:val="2"/>
              </w:numPr>
              <w:suppressAutoHyphens w:val="0"/>
              <w:ind w:righ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>На каждый пусковой комплекс должен быть комплект рабочей документации, опросные листы, спецификация, смета.</w:t>
            </w:r>
          </w:p>
          <w:p w:rsidR="00610D0F" w:rsidRPr="00050850" w:rsidRDefault="00610D0F" w:rsidP="00610D0F">
            <w:pPr>
              <w:pStyle w:val="a3"/>
              <w:numPr>
                <w:ilvl w:val="1"/>
                <w:numId w:val="3"/>
              </w:numPr>
              <w:suppressAutoHyphens w:val="0"/>
              <w:ind w:righ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>Сметную документацию разработать согласно техническим условиям Заказчика. В сметной документации предусмотреть затраты   на демонтаж оборудования, транспортировку оборудовании и материалов, уборку мусора, восстановления элементов, с учетом пуско-наладочных работ и испытаний.</w:t>
            </w:r>
          </w:p>
          <w:p w:rsidR="00610D0F" w:rsidRPr="00050850" w:rsidRDefault="00610D0F" w:rsidP="00610D0F">
            <w:pPr>
              <w:pStyle w:val="a3"/>
              <w:numPr>
                <w:ilvl w:val="1"/>
                <w:numId w:val="3"/>
              </w:numPr>
              <w:suppressAutoHyphens w:val="0"/>
              <w:ind w:righ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>Сметную документацию рассчитать в 2-х уровнях цен (базовые цены 2001 года и текущий уровень цен) с применением индексов перевода сметной стоимости строительства на момент выхода сметной документации.</w:t>
            </w:r>
          </w:p>
          <w:p w:rsidR="00610D0F" w:rsidRPr="00050850" w:rsidRDefault="00610D0F" w:rsidP="00610D0F">
            <w:pPr>
              <w:pStyle w:val="a3"/>
              <w:numPr>
                <w:ilvl w:val="1"/>
                <w:numId w:val="3"/>
              </w:numPr>
              <w:suppressAutoHyphens w:val="0"/>
              <w:ind w:righ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850">
              <w:rPr>
                <w:rFonts w:ascii="Times New Roman" w:hAnsi="Times New Roman"/>
                <w:sz w:val="24"/>
                <w:szCs w:val="24"/>
              </w:rPr>
              <w:t>Документацию необходимо предоставить на печатных и электронных носителях в формате EXCEL и в программном файле Гранд-смета.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1259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04" w:type="dxa"/>
          </w:tcPr>
          <w:p w:rsidR="00610D0F" w:rsidRPr="0030624D" w:rsidRDefault="00610D0F" w:rsidP="001259DD">
            <w:pPr>
              <w:ind w:right="-57"/>
              <w:jc w:val="both"/>
              <w:rPr>
                <w:b/>
              </w:rPr>
            </w:pPr>
            <w:r w:rsidRPr="0030624D">
              <w:rPr>
                <w:b/>
              </w:rPr>
              <w:t xml:space="preserve">Сведения по отводу </w:t>
            </w:r>
          </w:p>
          <w:p w:rsidR="00610D0F" w:rsidRPr="0030624D" w:rsidRDefault="00610D0F" w:rsidP="001259DD">
            <w:pPr>
              <w:ind w:right="-57"/>
              <w:jc w:val="both"/>
              <w:rPr>
                <w:b/>
              </w:rPr>
            </w:pPr>
            <w:r w:rsidRPr="0030624D">
              <w:rPr>
                <w:b/>
              </w:rPr>
              <w:t xml:space="preserve">земельного участка </w:t>
            </w:r>
          </w:p>
        </w:tc>
        <w:tc>
          <w:tcPr>
            <w:tcW w:w="6081" w:type="dxa"/>
          </w:tcPr>
          <w:p w:rsidR="00610D0F" w:rsidRPr="001E0348" w:rsidRDefault="00610D0F" w:rsidP="001259DD">
            <w:pPr>
              <w:ind w:left="34" w:right="-57"/>
              <w:jc w:val="both"/>
            </w:pPr>
            <w:r>
              <w:t>9</w:t>
            </w:r>
            <w:r w:rsidRPr="001E0348">
              <w:t>.1. Отвод земли не требуется, работы будут осуществляться в пределах действующей площадки ТП-1620.</w:t>
            </w:r>
          </w:p>
        </w:tc>
      </w:tr>
      <w:tr w:rsidR="00610D0F" w:rsidRPr="0030624D" w:rsidTr="001259DD">
        <w:trPr>
          <w:trHeight w:val="300"/>
          <w:jc w:val="center"/>
        </w:trPr>
        <w:tc>
          <w:tcPr>
            <w:tcW w:w="587" w:type="dxa"/>
          </w:tcPr>
          <w:p w:rsidR="00610D0F" w:rsidRPr="00CC2518" w:rsidRDefault="00610D0F" w:rsidP="001259DD">
            <w:pPr>
              <w:jc w:val="center"/>
              <w:rPr>
                <w:b/>
              </w:rPr>
            </w:pPr>
            <w:r w:rsidRPr="00CC251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104" w:type="dxa"/>
          </w:tcPr>
          <w:p w:rsidR="00610D0F" w:rsidRPr="0030624D" w:rsidRDefault="00610D0F" w:rsidP="001259DD">
            <w:pPr>
              <w:jc w:val="both"/>
              <w:rPr>
                <w:b/>
              </w:rPr>
            </w:pPr>
            <w:r w:rsidRPr="0030624D">
              <w:rPr>
                <w:b/>
              </w:rPr>
              <w:t>Требования к ПСД</w:t>
            </w:r>
          </w:p>
        </w:tc>
        <w:tc>
          <w:tcPr>
            <w:tcW w:w="6081" w:type="dxa"/>
          </w:tcPr>
          <w:p w:rsidR="00610D0F" w:rsidRPr="0030624D" w:rsidRDefault="00610D0F" w:rsidP="001259DD">
            <w:pPr>
              <w:spacing w:after="120"/>
              <w:jc w:val="both"/>
            </w:pPr>
            <w:r>
              <w:t xml:space="preserve">10.1 </w:t>
            </w:r>
            <w:r w:rsidRPr="0030624D">
              <w:t>Подрядчик передает Заказчику материалы в трех экземплярах в бумажном виде и трех экземплярах в электронном виде на CD/</w:t>
            </w:r>
            <w:r w:rsidRPr="0030624D">
              <w:rPr>
                <w:lang w:val="en-US"/>
              </w:rPr>
              <w:t>flash</w:t>
            </w:r>
            <w:r w:rsidRPr="0030624D">
              <w:t xml:space="preserve"> диске.</w:t>
            </w:r>
          </w:p>
          <w:p w:rsidR="00610D0F" w:rsidRPr="00747CFD" w:rsidRDefault="00610D0F" w:rsidP="001259DD">
            <w:pPr>
              <w:spacing w:after="120"/>
              <w:jc w:val="both"/>
            </w:pPr>
            <w:r w:rsidRPr="00747CFD">
              <w:t>10.2</w:t>
            </w:r>
            <w:r>
              <w:t xml:space="preserve"> </w:t>
            </w:r>
            <w:r w:rsidRPr="00747CFD">
              <w:t xml:space="preserve">Документация разрабатывается Исполнителем с использованием программного обеспечения: для текста - </w:t>
            </w:r>
            <w:proofErr w:type="spellStart"/>
            <w:r w:rsidRPr="00747CFD">
              <w:t>MicrosoftWord</w:t>
            </w:r>
            <w:proofErr w:type="spellEnd"/>
            <w:r w:rsidRPr="00747CFD">
              <w:t xml:space="preserve">, </w:t>
            </w:r>
            <w:proofErr w:type="spellStart"/>
            <w:r w:rsidRPr="00747CFD">
              <w:t>MicrosoftExcel</w:t>
            </w:r>
            <w:proofErr w:type="spellEnd"/>
            <w:r w:rsidRPr="00747CFD">
              <w:t xml:space="preserve">; для графической части – </w:t>
            </w:r>
            <w:proofErr w:type="spellStart"/>
            <w:r w:rsidRPr="00747CFD">
              <w:t>AutoCAD</w:t>
            </w:r>
            <w:proofErr w:type="spellEnd"/>
            <w:r w:rsidRPr="00747CFD">
              <w:t xml:space="preserve"> (DWF), </w:t>
            </w:r>
            <w:r w:rsidRPr="00747CFD">
              <w:rPr>
                <w:lang w:val="en-US"/>
              </w:rPr>
              <w:t>Visio</w:t>
            </w:r>
            <w:r w:rsidRPr="00747CFD">
              <w:t xml:space="preserve"> (</w:t>
            </w:r>
            <w:r w:rsidRPr="00747CFD">
              <w:rPr>
                <w:lang w:val="en-US"/>
              </w:rPr>
              <w:t>VSD</w:t>
            </w:r>
            <w:r w:rsidRPr="00747CFD">
              <w:t xml:space="preserve">); календарных планов-графиков - </w:t>
            </w:r>
            <w:proofErr w:type="spellStart"/>
            <w:r w:rsidRPr="00747CFD">
              <w:t>MicrosoftProject</w:t>
            </w:r>
            <w:proofErr w:type="spellEnd"/>
            <w:r w:rsidRPr="00747CFD">
              <w:t>.</w:t>
            </w:r>
          </w:p>
          <w:p w:rsidR="00610D0F" w:rsidRPr="0030624D" w:rsidRDefault="00610D0F" w:rsidP="001259DD">
            <w:pPr>
              <w:spacing w:after="120"/>
              <w:jc w:val="both"/>
            </w:pPr>
            <w:r>
              <w:t>10.3</w:t>
            </w:r>
            <w:proofErr w:type="gramStart"/>
            <w:r>
              <w:t xml:space="preserve"> </w:t>
            </w:r>
            <w:r w:rsidRPr="0030624D">
              <w:t>В</w:t>
            </w:r>
            <w:proofErr w:type="gramEnd"/>
            <w:r w:rsidRPr="0030624D">
              <w:t xml:space="preserve">се документы в электронном виде должны иметь формат, позволяющий осуществлять редактирование, </w:t>
            </w:r>
            <w:r w:rsidRPr="0030624D">
              <w:lastRenderedPageBreak/>
              <w:t>включая вставленные рисунки и графики.</w:t>
            </w:r>
          </w:p>
          <w:p w:rsidR="00610D0F" w:rsidRPr="0030624D" w:rsidRDefault="00610D0F" w:rsidP="001259DD">
            <w:pPr>
              <w:spacing w:after="120"/>
              <w:jc w:val="both"/>
            </w:pPr>
            <w:r>
              <w:t>10.4</w:t>
            </w:r>
            <w:r w:rsidRPr="0030624D">
              <w:t xml:space="preserve"> Табличные материалы в формате </w:t>
            </w:r>
            <w:proofErr w:type="spellStart"/>
            <w:r w:rsidRPr="0030624D">
              <w:t>Excel</w:t>
            </w:r>
            <w:proofErr w:type="spellEnd"/>
            <w:r w:rsidRPr="0030624D">
              <w:t xml:space="preserve"> должны быть представлены в незащищенном виде с сохранением всех расчетных формул, макросов и связей.</w:t>
            </w:r>
          </w:p>
          <w:p w:rsidR="00610D0F" w:rsidRPr="00747CFD" w:rsidRDefault="00610D0F" w:rsidP="001259DD">
            <w:pPr>
              <w:spacing w:after="120"/>
              <w:jc w:val="both"/>
            </w:pPr>
            <w:r>
              <w:rPr>
                <w:spacing w:val="-1"/>
              </w:rPr>
              <w:t>10.5</w:t>
            </w:r>
            <w:proofErr w:type="gramStart"/>
            <w:r>
              <w:rPr>
                <w:spacing w:val="-1"/>
              </w:rPr>
              <w:t xml:space="preserve"> </w:t>
            </w:r>
            <w:r w:rsidRPr="00747CFD">
              <w:rPr>
                <w:spacing w:val="-1"/>
              </w:rPr>
              <w:t>В</w:t>
            </w:r>
            <w:proofErr w:type="gramEnd"/>
            <w:r w:rsidRPr="00747CFD">
              <w:rPr>
                <w:spacing w:val="-1"/>
              </w:rPr>
              <w:t>ся документация  предоставляется на русском языке.</w:t>
            </w:r>
          </w:p>
        </w:tc>
      </w:tr>
    </w:tbl>
    <w:p w:rsidR="00000000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/>
    <w:p w:rsidR="00610D0F" w:rsidRDefault="00610D0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-13970</wp:posOffset>
            </wp:positionV>
            <wp:extent cx="6311900" cy="8480425"/>
            <wp:effectExtent l="95250" t="57150" r="69850" b="349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56" b="2966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311900" cy="848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D0F" w:rsidRDefault="00610D0F"/>
    <w:sectPr w:rsidR="0061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A73"/>
    <w:multiLevelType w:val="multilevel"/>
    <w:tmpl w:val="EB7ECA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6465590"/>
    <w:multiLevelType w:val="multilevel"/>
    <w:tmpl w:val="D304D0B0"/>
    <w:lvl w:ilvl="0">
      <w:start w:val="1"/>
      <w:numFmt w:val="decimal"/>
      <w:lvlText w:val="%1"/>
      <w:lvlJc w:val="left"/>
      <w:pPr>
        <w:tabs>
          <w:tab w:val="num" w:pos="928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3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firstLine="39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firstLine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firstLine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7"/>
        </w:tabs>
        <w:ind w:firstLine="56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firstLine="567"/>
      </w:pPr>
      <w:rPr>
        <w:rFonts w:cs="Times New Roman" w:hint="default"/>
      </w:rPr>
    </w:lvl>
  </w:abstractNum>
  <w:abstractNum w:abstractNumId="2">
    <w:nsid w:val="6D534952"/>
    <w:multiLevelType w:val="multilevel"/>
    <w:tmpl w:val="050AB4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610D0F"/>
    <w:rsid w:val="0061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D0F"/>
    <w:pPr>
      <w:suppressAutoHyphens/>
      <w:spacing w:after="0" w:line="240" w:lineRule="auto"/>
      <w:ind w:left="720" w:right="10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4935</Characters>
  <Application>Microsoft Office Word</Application>
  <DocSecurity>0</DocSecurity>
  <Lines>41</Lines>
  <Paragraphs>11</Paragraphs>
  <ScaleCrop>false</ScaleCrop>
  <Company>HP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2016-09-20T07:03:00Z</dcterms:created>
  <dcterms:modified xsi:type="dcterms:W3CDTF">2016-09-20T07:05:00Z</dcterms:modified>
</cp:coreProperties>
</file>