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6" w:rsidRPr="004515F1" w:rsidRDefault="002241B6" w:rsidP="002241B6">
      <w:pPr>
        <w:pStyle w:val="ConsNonformat"/>
        <w:keepNext/>
        <w:keepLines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5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№1 </w:t>
      </w:r>
    </w:p>
    <w:p w:rsidR="002241B6" w:rsidRDefault="002241B6" w:rsidP="002241B6">
      <w:pPr>
        <w:pStyle w:val="ConsNonformat"/>
        <w:keepNext/>
        <w:keepLines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515F1">
        <w:rPr>
          <w:rFonts w:ascii="Times New Roman" w:hAnsi="Times New Roman" w:cs="Times New Roman"/>
          <w:sz w:val="24"/>
          <w:szCs w:val="24"/>
        </w:rPr>
        <w:t xml:space="preserve">к государственному Контракту </w:t>
      </w:r>
    </w:p>
    <w:p w:rsidR="002241B6" w:rsidRPr="004515F1" w:rsidRDefault="002241B6" w:rsidP="002241B6">
      <w:pPr>
        <w:pStyle w:val="ConsNonformat"/>
        <w:keepNext/>
        <w:keepLines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515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2015.412082 </w:t>
      </w:r>
      <w:r w:rsidRPr="004515F1">
        <w:rPr>
          <w:rFonts w:ascii="Times New Roman" w:hAnsi="Times New Roman" w:cs="Times New Roman"/>
          <w:sz w:val="24"/>
          <w:szCs w:val="24"/>
        </w:rPr>
        <w:t>от ________________</w:t>
      </w:r>
    </w:p>
    <w:p w:rsidR="002241B6" w:rsidRPr="004515F1" w:rsidRDefault="002241B6" w:rsidP="002241B6">
      <w:pPr>
        <w:keepNext/>
        <w:keepLines/>
        <w:jc w:val="center"/>
        <w:rPr>
          <w:b/>
        </w:rPr>
      </w:pPr>
    </w:p>
    <w:p w:rsidR="002241B6" w:rsidRPr="004515F1" w:rsidRDefault="002241B6" w:rsidP="002241B6">
      <w:pPr>
        <w:keepNext/>
        <w:keepLines/>
        <w:jc w:val="center"/>
        <w:rPr>
          <w:b/>
        </w:rPr>
      </w:pPr>
      <w:r w:rsidRPr="004515F1">
        <w:rPr>
          <w:b/>
        </w:rPr>
        <w:t xml:space="preserve">Техническое задание </w:t>
      </w:r>
    </w:p>
    <w:p w:rsidR="002241B6" w:rsidRPr="003C44DC" w:rsidRDefault="002241B6" w:rsidP="002241B6">
      <w:pPr>
        <w:keepNext/>
        <w:keepLines/>
        <w:shd w:val="clear" w:color="auto" w:fill="FFFFFF"/>
        <w:jc w:val="center"/>
        <w:rPr>
          <w:b/>
          <w:i/>
        </w:rPr>
      </w:pPr>
      <w:r>
        <w:rPr>
          <w:b/>
          <w:i/>
        </w:rPr>
        <w:t>на разработку</w:t>
      </w:r>
      <w:r w:rsidRPr="00AE2002">
        <w:rPr>
          <w:b/>
          <w:i/>
        </w:rPr>
        <w:t xml:space="preserve"> </w:t>
      </w:r>
      <w:r w:rsidRPr="003C44DC">
        <w:rPr>
          <w:b/>
          <w:i/>
        </w:rPr>
        <w:t xml:space="preserve">проектной и рабочей  документации для строительства объекта: "Дворец технического творчества в </w:t>
      </w:r>
      <w:proofErr w:type="gramStart"/>
      <w:r w:rsidRPr="003C44DC">
        <w:rPr>
          <w:b/>
          <w:i/>
        </w:rPr>
        <w:t>г</w:t>
      </w:r>
      <w:proofErr w:type="gramEnd"/>
      <w:r w:rsidRPr="003C44DC">
        <w:rPr>
          <w:b/>
          <w:i/>
        </w:rPr>
        <w:t>.</w:t>
      </w:r>
      <w:r>
        <w:rPr>
          <w:b/>
          <w:i/>
        </w:rPr>
        <w:t xml:space="preserve"> </w:t>
      </w:r>
      <w:r w:rsidRPr="003C44DC">
        <w:rPr>
          <w:b/>
          <w:i/>
        </w:rPr>
        <w:t xml:space="preserve">Верхняя Пышма" </w:t>
      </w:r>
    </w:p>
    <w:p w:rsidR="002241B6" w:rsidRPr="004515F1" w:rsidRDefault="002241B6" w:rsidP="002241B6">
      <w:pPr>
        <w:keepNext/>
        <w:keepLines/>
        <w:snapToGrid w:val="0"/>
        <w:jc w:val="center"/>
        <w:rPr>
          <w:b/>
          <w:i/>
        </w:rPr>
      </w:pPr>
      <w:r w:rsidRPr="004515F1">
        <w:rPr>
          <w:b/>
          <w:i/>
        </w:rPr>
        <w:t xml:space="preserve">  </w:t>
      </w:r>
    </w:p>
    <w:tbl>
      <w:tblPr>
        <w:tblW w:w="10349" w:type="dxa"/>
        <w:tblInd w:w="-743" w:type="dxa"/>
        <w:tblLayout w:type="fixed"/>
        <w:tblLook w:val="0000"/>
      </w:tblPr>
      <w:tblGrid>
        <w:gridCol w:w="3545"/>
        <w:gridCol w:w="6804"/>
      </w:tblGrid>
      <w:tr w:rsidR="002241B6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1B6" w:rsidRDefault="002241B6" w:rsidP="008B41B0">
            <w:pPr>
              <w:widowControl w:val="0"/>
              <w:snapToGrid w:val="0"/>
              <w:jc w:val="center"/>
            </w:pPr>
            <w:r>
              <w:t>Наименование задаваемых показателей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1B6" w:rsidRDefault="002241B6" w:rsidP="008B41B0">
            <w:pPr>
              <w:widowControl w:val="0"/>
              <w:snapToGrid w:val="0"/>
              <w:jc w:val="center"/>
            </w:pPr>
            <w:r>
              <w:t>Показатели для проектирования</w:t>
            </w:r>
          </w:p>
        </w:tc>
      </w:tr>
      <w:tr w:rsidR="002241B6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2241B6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1. Основание для проектирования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rPr>
                <w:szCs w:val="28"/>
              </w:rPr>
              <w:t xml:space="preserve">-«Развитие </w:t>
            </w:r>
            <w:r w:rsidRPr="006306AF">
              <w:rPr>
                <w:szCs w:val="28"/>
              </w:rPr>
              <w:t>основных направлений государственной политики в строительном комплексе Свердловской области до 2020 года</w:t>
            </w:r>
            <w:r>
              <w:rPr>
                <w:szCs w:val="28"/>
              </w:rPr>
              <w:t>», утвержденной  постановлением Правительства Свердловской области от 24.10.2013 №1296-ПП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-Концепция «</w:t>
            </w:r>
            <w:r>
              <w:rPr>
                <w:bCs/>
              </w:rPr>
              <w:t xml:space="preserve">Дворец технического творчества в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Верхняя Пышма» (далее – «Концепция»)</w:t>
            </w:r>
            <w:r>
              <w:t xml:space="preserve">, утвержденная  губернатором Свердловской области Е.В. </w:t>
            </w:r>
            <w:proofErr w:type="spellStart"/>
            <w:r>
              <w:t>Куйвашевым</w:t>
            </w:r>
            <w:proofErr w:type="spellEnd"/>
            <w:r>
              <w:t xml:space="preserve">. 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 xml:space="preserve">-Письмо Министерства общего и профессионального образования Свердловской области от 30.07.2015г. №02-01-82/6165  </w:t>
            </w:r>
            <w:proofErr w:type="gramStart"/>
            <w:r>
              <w:t xml:space="preserve">( </w:t>
            </w:r>
            <w:proofErr w:type="gramEnd"/>
            <w:r>
              <w:t>Первый вариант).</w:t>
            </w:r>
          </w:p>
        </w:tc>
      </w:tr>
      <w:tr w:rsidR="002241B6" w:rsidRPr="0092326A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2. Наименование объекта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Pr="0092326A" w:rsidRDefault="002241B6" w:rsidP="008B41B0">
            <w:pPr>
              <w:widowControl w:val="0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«Дворец технического творчества в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Верхняя Пышма».</w:t>
            </w:r>
          </w:p>
        </w:tc>
      </w:tr>
      <w:tr w:rsidR="002241B6" w:rsidRPr="002F133A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Pr="0092326A" w:rsidRDefault="002241B6" w:rsidP="008B41B0">
            <w:pPr>
              <w:widowControl w:val="0"/>
              <w:snapToGrid w:val="0"/>
            </w:pPr>
            <w:r w:rsidRPr="0092326A">
              <w:t>3</w:t>
            </w:r>
            <w:r>
              <w:t>. Сведения о земельном участке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pStyle w:val="a5"/>
              <w:widowControl w:val="0"/>
              <w:snapToGrid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Свердловская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Верхняя Пышма. Кадастровые кварталы 66:36:0110002 и 66:36:0111007. В квартале улиц Ленина – Александра </w:t>
            </w:r>
            <w:proofErr w:type="spellStart"/>
            <w:r>
              <w:rPr>
                <w:bCs/>
              </w:rPr>
              <w:t>Козицына</w:t>
            </w:r>
            <w:proofErr w:type="spellEnd"/>
            <w:r>
              <w:rPr>
                <w:bCs/>
              </w:rPr>
              <w:t xml:space="preserve"> – Октябрьская.</w:t>
            </w:r>
          </w:p>
          <w:p w:rsidR="002241B6" w:rsidRPr="002F133A" w:rsidRDefault="002241B6" w:rsidP="008B41B0">
            <w:pPr>
              <w:pStyle w:val="a5"/>
              <w:widowControl w:val="0"/>
              <w:snapToGrid w:val="0"/>
              <w:spacing w:before="0" w:after="0"/>
              <w:jc w:val="both"/>
            </w:pPr>
            <w:r>
              <w:t xml:space="preserve"> Земельного участка  площадью не менее 1,04 га</w:t>
            </w:r>
          </w:p>
        </w:tc>
      </w:tr>
      <w:tr w:rsidR="002241B6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 w:rsidRPr="002F133A">
              <w:t>4</w:t>
            </w:r>
            <w:r>
              <w:t>. Заказчик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 xml:space="preserve">ГКУ СО «УКС Свердловской области»  </w:t>
            </w:r>
          </w:p>
        </w:tc>
      </w:tr>
      <w:tr w:rsidR="002241B6" w:rsidTr="002241B6">
        <w:trPr>
          <w:trHeight w:val="3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5. Проектная организация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Определяется по итогам размещения закупки</w:t>
            </w:r>
          </w:p>
        </w:tc>
      </w:tr>
      <w:tr w:rsidR="002241B6" w:rsidRPr="00915A43" w:rsidTr="002241B6">
        <w:trPr>
          <w:trHeight w:val="3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6. Сроки начала и окончания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keepNext/>
              <w:keepLine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4515F1">
              <w:rPr>
                <w:bCs/>
              </w:rPr>
              <w:t>Начало – с момента заключения Контракта.</w:t>
            </w:r>
          </w:p>
          <w:p w:rsidR="002241B6" w:rsidRDefault="002241B6" w:rsidP="008B41B0">
            <w:pPr>
              <w:keepNext/>
              <w:keepLine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73539A">
              <w:rPr>
                <w:bCs/>
              </w:rPr>
              <w:t>Окончание всех работ – не позднее 210 календарных дней с момента заключения Контракта, из них:</w:t>
            </w:r>
          </w:p>
          <w:p w:rsidR="002241B6" w:rsidRDefault="002241B6" w:rsidP="008B41B0">
            <w:pPr>
              <w:keepNext/>
              <w:keepLines/>
              <w:snapToGrid w:val="0"/>
            </w:pPr>
            <w:r>
              <w:t xml:space="preserve">    -выполнение комплексных инженерных изысканий – не позднее 30 календарных дней с момента заключения Контракта, </w:t>
            </w:r>
          </w:p>
          <w:p w:rsidR="002241B6" w:rsidRDefault="002241B6" w:rsidP="008B41B0">
            <w:pPr>
              <w:keepNext/>
              <w:keepLines/>
              <w:snapToGrid w:val="0"/>
            </w:pPr>
            <w:r>
              <w:t xml:space="preserve">   -</w:t>
            </w:r>
            <w:r w:rsidRPr="005C4FD3">
              <w:t>получение положительного заключения государственной экспертизы результатов комплексных инженерных изысканий – не позднее 60 календарных дней с момента заключения Контракта,</w:t>
            </w:r>
            <w:r>
              <w:t xml:space="preserve"> </w:t>
            </w:r>
          </w:p>
          <w:p w:rsidR="002241B6" w:rsidRPr="00A32DEB" w:rsidRDefault="002241B6" w:rsidP="008B41B0">
            <w:pPr>
              <w:keepNext/>
              <w:keepLines/>
              <w:snapToGrid w:val="0"/>
              <w:ind w:firstLine="147"/>
              <w:rPr>
                <w:highlight w:val="yellow"/>
              </w:rPr>
            </w:pPr>
            <w:r>
              <w:t xml:space="preserve"> </w:t>
            </w:r>
            <w:r w:rsidRPr="00915A43">
              <w:t>-</w:t>
            </w:r>
            <w:r w:rsidRPr="00652020">
              <w:t xml:space="preserve">получение исходных данных, разработка проектной документации, согласование разработанной проектной документации с Государственным заказчиком (разработанная проектная документация должна быть представлена Государственному заказчику на согласование не позднее, чем за 10 </w:t>
            </w:r>
            <w:r>
              <w:t xml:space="preserve">рабочих </w:t>
            </w:r>
            <w:r w:rsidRPr="00652020">
              <w:t>дней до передачи документации на экспертизу), представление разработанной проектной документации на экспертизу  – не позднее 90 календарных дней с момента заключения Контракта</w:t>
            </w:r>
            <w:r>
              <w:t>,</w:t>
            </w:r>
          </w:p>
          <w:p w:rsidR="002241B6" w:rsidRDefault="002241B6" w:rsidP="008B41B0">
            <w:pPr>
              <w:keepNext/>
              <w:keepLines/>
              <w:snapToGrid w:val="0"/>
            </w:pPr>
            <w:r>
              <w:t xml:space="preserve">    -п</w:t>
            </w:r>
            <w:r w:rsidRPr="00BE7E9D">
              <w:t>олучение положительного заключения государственной экспертизы</w:t>
            </w:r>
            <w:r>
              <w:t xml:space="preserve"> проектной документации</w:t>
            </w:r>
            <w:r w:rsidRPr="00BE7E9D">
              <w:t xml:space="preserve">, получение положительного заключения о достоверности определения сметной стоимости – не позднее 60 календарных дней с </w:t>
            </w:r>
            <w:r w:rsidRPr="00BE7E9D">
              <w:lastRenderedPageBreak/>
              <w:t>момента представления проек</w:t>
            </w:r>
            <w:r>
              <w:t>тной документации на экспертизу,</w:t>
            </w:r>
          </w:p>
          <w:p w:rsidR="002241B6" w:rsidRPr="00915A43" w:rsidRDefault="002241B6" w:rsidP="008B41B0">
            <w:pPr>
              <w:keepNext/>
              <w:keepLines/>
              <w:autoSpaceDE w:val="0"/>
              <w:autoSpaceDN w:val="0"/>
              <w:adjustRightInd w:val="0"/>
              <w:rPr>
                <w:bCs/>
              </w:rPr>
            </w:pPr>
            <w:r>
              <w:t xml:space="preserve">    -разработка рабочей документации – не позднее 60 календарных дней с момента получения положительного заключения государственной экспертизы проектной документации и </w:t>
            </w:r>
            <w:r w:rsidRPr="00BE7E9D">
              <w:t>положительного заключения о достоверности определения сметной стоимости</w:t>
            </w:r>
            <w:r>
              <w:t>.</w:t>
            </w:r>
          </w:p>
        </w:tc>
      </w:tr>
      <w:tr w:rsidR="002241B6" w:rsidTr="002241B6">
        <w:trPr>
          <w:trHeight w:val="3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lastRenderedPageBreak/>
              <w:t>7. Источник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Бюджет Свердловской области</w:t>
            </w:r>
          </w:p>
        </w:tc>
      </w:tr>
      <w:tr w:rsidR="002241B6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8. Вид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1.Выполнение комплексных инженерных изысканий.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2.Получение положительного заключения государственной экспертизы на комплексные инженерные изыскания (включая оплату за нее) в том числе повторной если потребуется.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 xml:space="preserve">2.Разработка </w:t>
            </w:r>
            <w:r w:rsidRPr="001D4EA3">
              <w:t xml:space="preserve"> проектной</w:t>
            </w:r>
            <w:r>
              <w:t xml:space="preserve"> документации по утвержденной «Концепции»  (Первый вариант).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3.Получение положительного заключения государственной экспертизы по проектной документации (включая оплату за нее) в том числе повторной, если потребуется и  положительного  заключения о достоверности определения сметной стоимости проекта (включая оплату за нее) в том числе повторной если потребуется.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4. Разработка рабочей документации в объеме необходимом для строительства и ввода объекта в эксплуатацию.</w:t>
            </w:r>
          </w:p>
        </w:tc>
      </w:tr>
      <w:tr w:rsidR="002241B6" w:rsidRPr="001752E3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9. Состав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Pr="002735D0" w:rsidRDefault="002241B6" w:rsidP="008B41B0">
            <w:pPr>
              <w:widowControl w:val="0"/>
              <w:shd w:val="clear" w:color="auto" w:fill="FFFFFF"/>
              <w:snapToGrid w:val="0"/>
            </w:pPr>
            <w:r w:rsidRPr="002735D0">
              <w:t xml:space="preserve">1. Направление от имени Заказчика заявок  на подключение/присоединение объекта к инженерным сетям в </w:t>
            </w:r>
            <w:proofErr w:type="spellStart"/>
            <w:r w:rsidRPr="002735D0">
              <w:t>ресурсоснабжающие</w:t>
            </w:r>
            <w:proofErr w:type="spellEnd"/>
            <w:r w:rsidRPr="002735D0">
              <w:t xml:space="preserve"> организации после расчета нагрузок (мощности, часового расхода газа и т.д.), определения иных необходимых расчетных данных для формирования заявок на подключение/присоединение проектируемого объекта  (</w:t>
            </w:r>
            <w:proofErr w:type="spellStart"/>
            <w:r w:rsidRPr="002735D0">
              <w:t>электр</w:t>
            </w:r>
            <w:proofErr w:type="gramStart"/>
            <w:r w:rsidRPr="002735D0">
              <w:t>о</w:t>
            </w:r>
            <w:proofErr w:type="spellEnd"/>
            <w:r w:rsidRPr="002735D0">
              <w:t>-</w:t>
            </w:r>
            <w:proofErr w:type="gramEnd"/>
            <w:r w:rsidRPr="002735D0">
              <w:t xml:space="preserve">, </w:t>
            </w:r>
            <w:proofErr w:type="spellStart"/>
            <w:r w:rsidRPr="002735D0">
              <w:t>водо</w:t>
            </w:r>
            <w:proofErr w:type="spellEnd"/>
            <w:r w:rsidRPr="002735D0">
              <w:t xml:space="preserve">-, </w:t>
            </w:r>
            <w:proofErr w:type="spellStart"/>
            <w:r w:rsidRPr="002735D0">
              <w:t>газо</w:t>
            </w:r>
            <w:proofErr w:type="spellEnd"/>
            <w:r w:rsidRPr="002735D0">
              <w:t xml:space="preserve">-, теплоснабжение, канализация, телефонизация и </w:t>
            </w:r>
            <w:proofErr w:type="spellStart"/>
            <w:r w:rsidRPr="002735D0">
              <w:t>т.п</w:t>
            </w:r>
            <w:proofErr w:type="spellEnd"/>
            <w:r w:rsidRPr="002735D0">
              <w:t>), получение от имени Заказчика технических условий для целей проектирования.</w:t>
            </w:r>
          </w:p>
          <w:p w:rsidR="002241B6" w:rsidRPr="002735D0" w:rsidRDefault="002241B6" w:rsidP="008B41B0">
            <w:pPr>
              <w:widowControl w:val="0"/>
              <w:shd w:val="clear" w:color="auto" w:fill="FFFFFF"/>
              <w:snapToGrid w:val="0"/>
            </w:pPr>
            <w:r w:rsidRPr="002735D0">
              <w:t>2. Получение других необходимых для проектирования исходных данных, не являющихся техническими условиями на подключение/присоединение объекта к инженерным сетям (справок, заключений и т.п.), включая оплату за них.</w:t>
            </w:r>
          </w:p>
          <w:p w:rsidR="002241B6" w:rsidRPr="004163A7" w:rsidRDefault="002241B6" w:rsidP="008B41B0">
            <w:pPr>
              <w:widowControl w:val="0"/>
            </w:pPr>
            <w:r>
              <w:t>3.</w:t>
            </w:r>
            <w:r w:rsidRPr="004163A7">
              <w:t>При необходимости выполнить обследовани</w:t>
            </w:r>
            <w:r>
              <w:t>е</w:t>
            </w:r>
            <w:r w:rsidRPr="004163A7">
              <w:t xml:space="preserve"> существующих сетей</w:t>
            </w:r>
            <w:r>
              <w:t xml:space="preserve"> и сооружений в объеме, необходимом для прохождения государственной экспертизы</w:t>
            </w:r>
            <w:r w:rsidRPr="004163A7">
              <w:t>.</w:t>
            </w:r>
          </w:p>
          <w:p w:rsidR="002241B6" w:rsidRPr="004163A7" w:rsidRDefault="002241B6" w:rsidP="008B41B0">
            <w:pPr>
              <w:widowControl w:val="0"/>
              <w:snapToGrid w:val="0"/>
            </w:pPr>
            <w:r w:rsidRPr="004163A7">
              <w:t xml:space="preserve">4. </w:t>
            </w:r>
            <w:proofErr w:type="gramStart"/>
            <w:r w:rsidRPr="004163A7">
              <w:t>В</w:t>
            </w:r>
            <w:r>
              <w:t xml:space="preserve">ыполнить при необходимости </w:t>
            </w:r>
            <w:r w:rsidRPr="002735D0">
              <w:t>расчет пропускной способности, гидравлическую схему (иные расчеты и схемы) в отношении существующих инженерных сетей с целью определения возможности подключения/присоединения проектируемого объекта к существующим инженерным сетям с рассчитанной проектировщиком нагрузкой (мощностью) принимающих устройств проектируемого объекта.</w:t>
            </w:r>
            <w:proofErr w:type="gramEnd"/>
          </w:p>
          <w:p w:rsidR="002241B6" w:rsidRDefault="002241B6" w:rsidP="008B41B0">
            <w:pPr>
              <w:widowControl w:val="0"/>
              <w:snapToGrid w:val="0"/>
            </w:pPr>
            <w:r>
              <w:t>5. Комплексные инженерные изыскания на площадке строительства и по трассам инженерных сетей до точек подключения, с предоставлением отчетов государственному Заказчику:</w:t>
            </w:r>
          </w:p>
          <w:p w:rsidR="002241B6" w:rsidRDefault="002241B6" w:rsidP="008B41B0">
            <w:pPr>
              <w:widowControl w:val="0"/>
            </w:pPr>
            <w:r>
              <w:t>-инженерно-геодезические;</w:t>
            </w:r>
          </w:p>
          <w:p w:rsidR="002241B6" w:rsidRDefault="002241B6" w:rsidP="008B41B0">
            <w:pPr>
              <w:widowControl w:val="0"/>
            </w:pPr>
            <w:r>
              <w:t>-инженерно-геологические;</w:t>
            </w:r>
          </w:p>
          <w:p w:rsidR="002241B6" w:rsidRDefault="002241B6" w:rsidP="008B41B0">
            <w:pPr>
              <w:widowControl w:val="0"/>
            </w:pPr>
            <w:r>
              <w:t>-инженерно-экологические;</w:t>
            </w:r>
          </w:p>
          <w:p w:rsidR="002241B6" w:rsidRDefault="002241B6" w:rsidP="008B41B0">
            <w:pPr>
              <w:widowControl w:val="0"/>
            </w:pPr>
            <w:proofErr w:type="gramStart"/>
            <w:r>
              <w:lastRenderedPageBreak/>
              <w:t>- гидрогеологические  (при необходимости);</w:t>
            </w:r>
            <w:proofErr w:type="gramEnd"/>
          </w:p>
          <w:p w:rsidR="002241B6" w:rsidRPr="002241B6" w:rsidRDefault="002241B6" w:rsidP="008B41B0">
            <w:pPr>
              <w:widowControl w:val="0"/>
            </w:pPr>
            <w:proofErr w:type="gramStart"/>
            <w:r>
              <w:t>- геофизические  (при необходимости).</w:t>
            </w:r>
            <w:proofErr w:type="gramEnd"/>
          </w:p>
          <w:p w:rsidR="002241B6" w:rsidRDefault="002241B6" w:rsidP="008B41B0">
            <w:pPr>
              <w:widowControl w:val="0"/>
            </w:pPr>
            <w:r>
              <w:t>6. Разработка проектной документации в объеме, необходимом для прохождения государственной экспертизы и разработки рабочей документации для осуществления строительства и ввода объекта в эксплуатацию.</w:t>
            </w:r>
          </w:p>
          <w:p w:rsidR="002241B6" w:rsidRPr="002735D0" w:rsidRDefault="002241B6" w:rsidP="008B41B0">
            <w:pPr>
              <w:widowControl w:val="0"/>
            </w:pPr>
            <w:r>
              <w:t>7. При необходимости выполн</w:t>
            </w:r>
            <w:r w:rsidRPr="004163A7">
              <w:t>и</w:t>
            </w:r>
            <w:r>
              <w:t>ть проект</w:t>
            </w:r>
            <w:r w:rsidRPr="004163A7">
              <w:t xml:space="preserve"> выноса инженерных </w:t>
            </w:r>
            <w:r>
              <w:t>сетей,</w:t>
            </w:r>
            <w:r w:rsidRPr="004163A7">
              <w:t xml:space="preserve"> </w:t>
            </w:r>
            <w:r w:rsidRPr="002735D0">
              <w:t>попадающих в площадь застройки объекта, и/или рассчитать затраты на вынос таких сетей (по согласованию с организациями – владельцами сетей);</w:t>
            </w:r>
          </w:p>
          <w:p w:rsidR="002241B6" w:rsidRPr="00AF6107" w:rsidRDefault="002241B6" w:rsidP="008B41B0">
            <w:pPr>
              <w:widowControl w:val="0"/>
            </w:pPr>
            <w:r w:rsidRPr="002735D0">
              <w:t>8. При необходимости выполнить проект по размещению пожарных резервуаров или установку пожарных гидрантов, иных сооружений и сетей инженерного назначения, необходимых для безопасной эксплуатации объекта;</w:t>
            </w:r>
          </w:p>
          <w:p w:rsidR="002241B6" w:rsidRPr="008E3AAC" w:rsidRDefault="002241B6" w:rsidP="008B41B0">
            <w:pPr>
              <w:widowControl w:val="0"/>
            </w:pPr>
            <w:r>
              <w:t>9. При необходимости запроектировать комплектную трансформаторную подстанцию</w:t>
            </w:r>
            <w:r w:rsidRPr="008E3AAC">
              <w:t>;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 xml:space="preserve">10. В составе документации заполнить опросные листы  </w:t>
            </w:r>
          </w:p>
          <w:p w:rsidR="002241B6" w:rsidRPr="00E00D37" w:rsidRDefault="002241B6" w:rsidP="008B41B0">
            <w:pPr>
              <w:widowControl w:val="0"/>
              <w:snapToGrid w:val="0"/>
            </w:pPr>
            <w:r>
              <w:t xml:space="preserve">(приложение №1) по прилагаемой форме к комплектам ТХ на оборудование, приспособления и мебель в соответствии с профилем учреждения и отдельных кабинетов. Проектировщик в проектной документации указывает перечень товаров (мебель и оборудование), используемых для оснащения Объекта, с указанием технических характеристик этих товаров  </w:t>
            </w:r>
            <w:r w:rsidRPr="00E00D37">
              <w:t>и их эквивалент.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11. В соответствии с формой опросного листа (приложение  №1) на товар, технологически не связанный с объектом строительства, но необходимый для сдачи объекта в эксплуатацию, к разделу «Технологические решения» Проектировщик составляет пояснительную записку с характеристиками всех наименований оборудования и мебели, предусмотренных проектом и согласовывает с Заказчиком. В случае использования импортного оборудования предложить Российский аналог, если он имеется.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12.Подготовить демонстрационные материалы  для проведения технического совета: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- планшет  формата  А</w:t>
            </w:r>
            <w:proofErr w:type="gramStart"/>
            <w:r>
              <w:t>1</w:t>
            </w:r>
            <w:proofErr w:type="gramEnd"/>
            <w:r>
              <w:t>;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- альбом с  цветовыми решениями фасадов и 3д визуализация объекта;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 xml:space="preserve">- видеоматериалы.  </w:t>
            </w:r>
          </w:p>
          <w:p w:rsidR="002241B6" w:rsidRDefault="002241B6" w:rsidP="008B41B0">
            <w:pPr>
              <w:widowControl w:val="0"/>
            </w:pPr>
            <w:r>
              <w:t>13.До прохождения государственной  экспертизы согласовать  с Министерством образования Свердловской области и государственным заказчиком:</w:t>
            </w:r>
          </w:p>
          <w:p w:rsidR="002241B6" w:rsidRDefault="002241B6" w:rsidP="008B41B0">
            <w:pPr>
              <w:widowControl w:val="0"/>
            </w:pPr>
            <w:r>
              <w:t>-  раздел генерального плана;</w:t>
            </w:r>
          </w:p>
          <w:p w:rsidR="002241B6" w:rsidRDefault="002241B6" w:rsidP="008B41B0">
            <w:pPr>
              <w:widowControl w:val="0"/>
            </w:pPr>
            <w:r>
              <w:t xml:space="preserve">- раздел АР с расположением кабинетов и помещений; </w:t>
            </w:r>
          </w:p>
          <w:p w:rsidR="002241B6" w:rsidRDefault="002241B6" w:rsidP="008B41B0">
            <w:pPr>
              <w:widowControl w:val="0"/>
            </w:pPr>
            <w:r>
              <w:t>- раздел ТХ с расположением  технологического оборудования и мебели;</w:t>
            </w:r>
          </w:p>
          <w:p w:rsidR="002241B6" w:rsidRDefault="002241B6" w:rsidP="008B41B0">
            <w:pPr>
              <w:widowControl w:val="0"/>
            </w:pPr>
            <w:r>
              <w:t>- перечень</w:t>
            </w:r>
            <w:r w:rsidRPr="00464B76">
              <w:rPr>
                <w:b/>
              </w:rPr>
              <w:t xml:space="preserve"> </w:t>
            </w:r>
            <w:r w:rsidRPr="00594877">
              <w:t>на приобретаемое оборудование и мебель</w:t>
            </w:r>
            <w:r w:rsidRPr="00464B76">
              <w:rPr>
                <w:b/>
              </w:rPr>
              <w:t xml:space="preserve"> </w:t>
            </w:r>
            <w:r>
              <w:t xml:space="preserve">14.Предусмотреть комплексную автоматизированную систему  управления    объекта, в том числе систему видеонаблюдения (внутреннего и уличного)  с выводом сигналов на   единый пост охраны. </w:t>
            </w:r>
          </w:p>
          <w:p w:rsidR="002241B6" w:rsidRDefault="002241B6" w:rsidP="008B41B0">
            <w:pPr>
              <w:widowControl w:val="0"/>
            </w:pPr>
            <w:r>
              <w:t xml:space="preserve">15.Предусмотреть в составе проекта локальную </w:t>
            </w:r>
            <w:r>
              <w:lastRenderedPageBreak/>
              <w:t xml:space="preserve">вычислительную сеть с установкой серверного оборудования.   </w:t>
            </w:r>
          </w:p>
          <w:p w:rsidR="002241B6" w:rsidRDefault="002241B6" w:rsidP="008B41B0">
            <w:pPr>
              <w:widowControl w:val="0"/>
            </w:pPr>
            <w:r>
              <w:t xml:space="preserve">16.Выполнить дизайн-проект мест общего пользования   </w:t>
            </w:r>
          </w:p>
          <w:p w:rsidR="002241B6" w:rsidRDefault="002241B6" w:rsidP="008B41B0">
            <w:pPr>
              <w:widowControl w:val="0"/>
            </w:pPr>
            <w:r>
              <w:t>( вестибюль, холлы и т.д.).</w:t>
            </w:r>
          </w:p>
          <w:p w:rsidR="002241B6" w:rsidRDefault="002241B6" w:rsidP="008B41B0">
            <w:pPr>
              <w:widowControl w:val="0"/>
            </w:pPr>
            <w:r>
              <w:t>17. Предусмотреть ограждение территории с обеспечением систем охраны и контроля доступа;</w:t>
            </w:r>
          </w:p>
          <w:p w:rsidR="002241B6" w:rsidRDefault="002241B6" w:rsidP="008B41B0">
            <w:pPr>
              <w:widowControl w:val="0"/>
            </w:pPr>
            <w:r>
              <w:t>18. Получение положительного заключения государственной экспертизы, оплата услуг по проведению государственной экспертизы разработанной проектной документации</w:t>
            </w:r>
            <w:r w:rsidRPr="007334C2">
              <w:t>;</w:t>
            </w:r>
            <w:r>
              <w:t xml:space="preserve">  </w:t>
            </w:r>
          </w:p>
          <w:p w:rsidR="002241B6" w:rsidRDefault="002241B6" w:rsidP="008B41B0">
            <w:pPr>
              <w:widowControl w:val="0"/>
            </w:pPr>
            <w:r>
              <w:t xml:space="preserve">19. </w:t>
            </w:r>
            <w:proofErr w:type="gramStart"/>
            <w:r>
              <w:t>Получение положительного заключения о достоверности определения сметной стоимости (включая оплату) в организации, уполномоченной на проведение проверки определения сметной стоимости инвестиционных проектов (согласно постановлению Правительства Свердловской области от 06.09.2007 г. №872-ПП (в редакции постановления Правительства Свердловской области от 18.06.2014 г.  № 503-ПП) на момент размещения заказа уполномоченной организацией на проведение проверки определения достоверности сметной стоимости инвестиционных проектов, финансируемых полностью или частично за</w:t>
            </w:r>
            <w:proofErr w:type="gramEnd"/>
            <w:r>
              <w:t xml:space="preserve"> счет средств областного бюджета, направляемых на капитальные вложения, является ГАУ </w:t>
            </w:r>
            <w:proofErr w:type="gramStart"/>
            <w:r>
              <w:t>СО</w:t>
            </w:r>
            <w:proofErr w:type="gramEnd"/>
            <w:r>
              <w:t xml:space="preserve"> «Управление государственной экспертизы».</w:t>
            </w:r>
          </w:p>
          <w:p w:rsidR="002241B6" w:rsidRPr="001752E3" w:rsidRDefault="002241B6" w:rsidP="008B41B0">
            <w:pPr>
              <w:widowControl w:val="0"/>
              <w:rPr>
                <w:b/>
              </w:rPr>
            </w:pPr>
            <w:r>
              <w:t>20. Согласование разработанной рабочей документации с энергосберегающими организациями, выдавшими технические условия, а также другими организациями</w:t>
            </w:r>
            <w:r w:rsidRPr="007334C2">
              <w:t xml:space="preserve">; </w:t>
            </w:r>
            <w:r>
              <w:t>при необходимости оплата такого согласования.</w:t>
            </w:r>
          </w:p>
        </w:tc>
      </w:tr>
      <w:tr w:rsidR="002241B6" w:rsidTr="002241B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r>
              <w:lastRenderedPageBreak/>
              <w:t>10</w:t>
            </w:r>
            <w:r w:rsidRPr="00F45A18">
              <w:t>. Состав зданий и сооружений. Основные характеристики объектов проектирования.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</w:pPr>
            <w:r>
              <w:t>Состав зданий и сооружений   (по концепции,  1вариант):</w:t>
            </w:r>
          </w:p>
          <w:p w:rsidR="002241B6" w:rsidRDefault="002241B6" w:rsidP="008B41B0">
            <w:pPr>
              <w:widowControl w:val="0"/>
            </w:pPr>
            <w:r>
              <w:t>1.Здание – цокольный этаж + 4 этажа.   Максимальное единовременное пребывание – 500 человек.</w:t>
            </w:r>
          </w:p>
          <w:p w:rsidR="002241B6" w:rsidRDefault="002241B6" w:rsidP="008B41B0">
            <w:r>
              <w:t>3.Инженерные сети и сооружения необходимые для обеспечения жизнедеятельности объекта.</w:t>
            </w:r>
          </w:p>
        </w:tc>
      </w:tr>
      <w:tr w:rsidR="002241B6" w:rsidTr="002241B6">
        <w:trPr>
          <w:trHeight w:val="5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Pr="00FC7EB1" w:rsidRDefault="002241B6" w:rsidP="008B41B0">
            <w:pPr>
              <w:widowControl w:val="0"/>
              <w:snapToGrid w:val="0"/>
            </w:pPr>
            <w:r>
              <w:t>11.Требования к проектной документации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1.Разработка всех разделов проектной документации должна быть выполнена на основании действующих нормативных документов и руководствоваться градостроительным и гражданским кодексом.</w:t>
            </w:r>
          </w:p>
          <w:p w:rsidR="002241B6" w:rsidRDefault="002241B6" w:rsidP="008B41B0">
            <w:pPr>
              <w:widowControl w:val="0"/>
            </w:pPr>
            <w:r>
              <w:t>2.Проектная документация по составу и содержанию должна быть разработана в соответствие  Положению о составе разделов проектной документации и требованиях к их содержанию, утвержденному Постановлением Правительства Российской Федерации от 16 февраля 2008 г. № 87 и оформлена по ГОСТ 21.1101-2013.</w:t>
            </w:r>
          </w:p>
          <w:p w:rsidR="002241B6" w:rsidRDefault="002241B6" w:rsidP="008B41B0">
            <w:pPr>
              <w:widowControl w:val="0"/>
            </w:pPr>
            <w:r>
              <w:t>3.Перечень  действующей  ПСД  должен быть представлен по форме, утвержденной главным архитектором  Свердловской области  (приложение №2)</w:t>
            </w:r>
          </w:p>
        </w:tc>
      </w:tr>
      <w:tr w:rsidR="002241B6" w:rsidTr="002241B6">
        <w:trPr>
          <w:trHeight w:val="5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12.Количество экземпляров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</w:pPr>
            <w:r>
              <w:t>4 экземпляра комплексных инженерных изысканий;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4 экземпляра  альбомов с цветовыми  решениями фасадов и  3д визуализацией объекта</w:t>
            </w:r>
          </w:p>
          <w:p w:rsidR="002241B6" w:rsidRDefault="002241B6" w:rsidP="008B41B0">
            <w:pPr>
              <w:widowControl w:val="0"/>
            </w:pPr>
            <w:r>
              <w:t xml:space="preserve">4 экземпляра проектной документации; </w:t>
            </w:r>
          </w:p>
          <w:p w:rsidR="002241B6" w:rsidRDefault="002241B6" w:rsidP="008B41B0">
            <w:pPr>
              <w:widowControl w:val="0"/>
            </w:pPr>
            <w:r>
              <w:t>4экземпляра рабочей документации</w:t>
            </w:r>
          </w:p>
          <w:p w:rsidR="002241B6" w:rsidRDefault="002241B6" w:rsidP="008B41B0">
            <w:pPr>
              <w:widowControl w:val="0"/>
            </w:pPr>
            <w:r>
              <w:t xml:space="preserve">в сброшюрованном виде и в электронном виде на магнитном носителе </w:t>
            </w:r>
            <w:r>
              <w:rPr>
                <w:lang w:val="en-US"/>
              </w:rPr>
              <w:t>CD</w:t>
            </w:r>
            <w:r>
              <w:t xml:space="preserve"> в формате «</w:t>
            </w:r>
            <w:proofErr w:type="spellStart"/>
            <w:r>
              <w:rPr>
                <w:lang w:val="en-US"/>
              </w:rPr>
              <w:t>dwg</w:t>
            </w:r>
            <w:proofErr w:type="spellEnd"/>
            <w:r>
              <w:t>» и «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t>»  - чертежи, текстовая часть в программе «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 2003»  (.</w:t>
            </w:r>
            <w:r>
              <w:rPr>
                <w:lang w:val="en-US"/>
              </w:rPr>
              <w:t>doc</w:t>
            </w:r>
            <w:r>
              <w:t xml:space="preserve">), сметы  в базовых ценах 2001 года  в редакции 2009 года  по территории </w:t>
            </w:r>
            <w:r>
              <w:lastRenderedPageBreak/>
              <w:t>Свердловской области в программном комплексе, совместимом с «</w:t>
            </w:r>
            <w:proofErr w:type="spellStart"/>
            <w:r>
              <w:t>Грандсмета</w:t>
            </w:r>
            <w:proofErr w:type="spellEnd"/>
            <w:r>
              <w:t xml:space="preserve">». </w:t>
            </w:r>
          </w:p>
        </w:tc>
      </w:tr>
      <w:tr w:rsidR="002241B6" w:rsidTr="002241B6">
        <w:trPr>
          <w:trHeight w:val="2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lastRenderedPageBreak/>
              <w:t>13.Основные требования к архитектурно-</w:t>
            </w:r>
            <w:proofErr w:type="gramStart"/>
            <w:r>
              <w:t>планировочным решениям</w:t>
            </w:r>
            <w:proofErr w:type="gramEnd"/>
            <w:r>
              <w:t>, благоустройству участка.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 xml:space="preserve">В соответствии с </w:t>
            </w:r>
            <w:proofErr w:type="spellStart"/>
            <w:r>
              <w:t>СНиП</w:t>
            </w:r>
            <w:proofErr w:type="spellEnd"/>
            <w:r>
              <w:t xml:space="preserve">, </w:t>
            </w:r>
            <w:proofErr w:type="spellStart"/>
            <w:r>
              <w:t>СанПиН</w:t>
            </w:r>
            <w:proofErr w:type="spellEnd"/>
            <w:r>
              <w:t>, ГПЗУ.</w:t>
            </w:r>
          </w:p>
          <w:p w:rsidR="002241B6" w:rsidRDefault="002241B6" w:rsidP="008B41B0">
            <w:pPr>
              <w:widowControl w:val="0"/>
            </w:pPr>
            <w:r>
              <w:t>Предусмотреть:</w:t>
            </w:r>
          </w:p>
          <w:p w:rsidR="002241B6" w:rsidRDefault="002241B6" w:rsidP="008B41B0">
            <w:pPr>
              <w:widowControl w:val="0"/>
            </w:pPr>
            <w:r>
              <w:t xml:space="preserve"> - детскую игровую площадку  площадью  не менее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с малыми архитектурными  формами;</w:t>
            </w:r>
          </w:p>
          <w:p w:rsidR="002241B6" w:rsidRDefault="002241B6" w:rsidP="008B41B0">
            <w:pPr>
              <w:widowControl w:val="0"/>
            </w:pPr>
            <w:r>
              <w:t>- универсальную спортивную площадку  не 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с трибунами на 100 мест, наливным резиновым покрытием и   ограждением по периметру площадки;</w:t>
            </w:r>
          </w:p>
          <w:p w:rsidR="002241B6" w:rsidRDefault="002241B6" w:rsidP="008B41B0">
            <w:pPr>
              <w:widowControl w:val="0"/>
            </w:pPr>
            <w:r>
              <w:t>- стоянку на 150 машин и  2 автобусов с площадкой высадки и посадки;</w:t>
            </w:r>
          </w:p>
          <w:p w:rsidR="002241B6" w:rsidRDefault="002241B6" w:rsidP="008B41B0">
            <w:pPr>
              <w:widowControl w:val="0"/>
            </w:pPr>
            <w:r>
              <w:t>- хозяйственную площадку площадью не менее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2241B6" w:rsidRPr="00743DA1" w:rsidRDefault="002241B6" w:rsidP="008B41B0">
            <w:pPr>
              <w:widowControl w:val="0"/>
            </w:pPr>
            <w:r>
              <w:t>-  тротуары, дорожки, зеленую зону – не менее 4800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2241B6" w:rsidRDefault="002241B6" w:rsidP="008B41B0">
            <w:pPr>
              <w:widowControl w:val="0"/>
            </w:pPr>
            <w:r>
              <w:t>- ограждение территории по всему периметру с обеспечением системы охраны  и контроля доступа;</w:t>
            </w:r>
          </w:p>
        </w:tc>
      </w:tr>
      <w:tr w:rsidR="002241B6" w:rsidTr="002241B6">
        <w:trPr>
          <w:trHeight w:val="4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14.Требования к обеспечению доступа инвалидов.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 xml:space="preserve">В соответствии с </w:t>
            </w:r>
            <w:proofErr w:type="spellStart"/>
            <w:r>
              <w:t>СНиП</w:t>
            </w:r>
            <w:proofErr w:type="spellEnd"/>
            <w:r>
              <w:t xml:space="preserve">, </w:t>
            </w:r>
            <w:proofErr w:type="spellStart"/>
            <w:r>
              <w:t>СанПиН</w:t>
            </w:r>
            <w:proofErr w:type="spellEnd"/>
          </w:p>
          <w:p w:rsidR="002241B6" w:rsidRDefault="002241B6" w:rsidP="008B41B0">
            <w:pPr>
              <w:widowControl w:val="0"/>
            </w:pPr>
          </w:p>
        </w:tc>
      </w:tr>
      <w:tr w:rsidR="002241B6" w:rsidTr="002241B6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15.Требования к сметной документации.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015920">
              <w:t>Сводный сметный расчет стоимости строительства выполнить в трех уровнях:</w:t>
            </w:r>
          </w:p>
          <w:p w:rsidR="002241B6" w:rsidRDefault="002241B6" w:rsidP="008B41B0">
            <w:pPr>
              <w:tabs>
                <w:tab w:val="left" w:pos="317"/>
              </w:tabs>
            </w:pPr>
            <w:r w:rsidRPr="00015920">
              <w:t xml:space="preserve">- </w:t>
            </w:r>
            <w:r>
              <w:t xml:space="preserve">расчёт стоимости выполнить в  </w:t>
            </w:r>
            <w:r w:rsidRPr="004737E0">
              <w:t>сметно-нормативной базе</w:t>
            </w:r>
            <w:r>
              <w:t xml:space="preserve">, действующей на момент подготовки проектной документации, на основе территориальных единичных расценок Свердловской области </w:t>
            </w:r>
          </w:p>
          <w:p w:rsidR="002241B6" w:rsidRPr="00015920" w:rsidRDefault="002241B6" w:rsidP="008B41B0">
            <w:pPr>
              <w:tabs>
                <w:tab w:val="left" w:pos="317"/>
              </w:tabs>
            </w:pPr>
            <w:r w:rsidRPr="00015920">
              <w:t>- в  текущем уровне, определяемом на основе цен, сложившихся ко времени составления сметной документации с индексом, разрабатываемым по видам строительства ФАУ «Федеральный центр ценообразования в строительстве и промышленности строительных материалов. Уральский Федеральный округ»;</w:t>
            </w:r>
          </w:p>
          <w:p w:rsidR="002241B6" w:rsidRPr="00015920" w:rsidRDefault="002241B6" w:rsidP="008B41B0">
            <w:pPr>
              <w:tabs>
                <w:tab w:val="left" w:pos="317"/>
              </w:tabs>
            </w:pPr>
            <w:r w:rsidRPr="00015920">
              <w:t>- в прогнозном уровне цен с учетом норм продолжительности строительства.</w:t>
            </w:r>
          </w:p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015920">
              <w:t>Формирование сметной стоимости должно осуществляться в соответствии с методикой определения стоимости строительной продукции на территории РФ (МДС 81-35.2004).</w:t>
            </w:r>
          </w:p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015920">
              <w:t>Электронные версии сметной документации оформляются в</w:t>
            </w:r>
            <w:r>
              <w:t xml:space="preserve"> совместимом</w:t>
            </w:r>
            <w:r w:rsidRPr="00015920">
              <w:t xml:space="preserve"> сметном программном комплексе «Гранд-Смета».</w:t>
            </w:r>
          </w:p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015920">
              <w:t>В сметном расчете предусмотреть расходы на технологическое присоединение к системам инженерного обеспечения, а также затраты на проведение пусконаладочных работ.</w:t>
            </w:r>
          </w:p>
          <w:p w:rsidR="002241B6" w:rsidRPr="00015920" w:rsidRDefault="002241B6" w:rsidP="002241B6">
            <w:pPr>
              <w:pStyle w:val="a6"/>
              <w:numPr>
                <w:ilvl w:val="0"/>
                <w:numId w:val="2"/>
              </w:numPr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 w:hanging="33"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Включить затраты по вводу объекта в эксплуатацию</w:t>
            </w:r>
            <w:r w:rsidRPr="00015920">
              <w:rPr>
                <w:szCs w:val="24"/>
                <w:lang w:eastAsia="ar-SA"/>
              </w:rPr>
              <w:t>:</w:t>
            </w:r>
          </w:p>
          <w:p w:rsidR="002241B6" w:rsidRPr="00015920" w:rsidRDefault="002241B6" w:rsidP="008B41B0">
            <w:pPr>
              <w:pStyle w:val="a6"/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- проведение </w:t>
            </w:r>
            <w:proofErr w:type="spellStart"/>
            <w:r>
              <w:rPr>
                <w:szCs w:val="24"/>
                <w:lang w:eastAsia="ar-SA"/>
              </w:rPr>
              <w:t>тепловизионного</w:t>
            </w:r>
            <w:proofErr w:type="spellEnd"/>
            <w:r>
              <w:rPr>
                <w:szCs w:val="24"/>
                <w:lang w:eastAsia="ar-SA"/>
              </w:rPr>
              <w:t xml:space="preserve"> обследования с выдачей вкладыша энергетического паспорта</w:t>
            </w:r>
            <w:r w:rsidRPr="00015920">
              <w:rPr>
                <w:szCs w:val="24"/>
                <w:lang w:eastAsia="ar-SA"/>
              </w:rPr>
              <w:t>;</w:t>
            </w:r>
          </w:p>
          <w:p w:rsidR="002241B6" w:rsidRPr="00015920" w:rsidRDefault="002241B6" w:rsidP="008B41B0">
            <w:pPr>
              <w:pStyle w:val="a6"/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 проведение санитарно-гигиенических обследований (вода, почва, химия, радиация, освещение, вибрация, микроклимат)</w:t>
            </w:r>
            <w:r w:rsidRPr="00015920">
              <w:rPr>
                <w:szCs w:val="24"/>
                <w:lang w:eastAsia="ar-SA"/>
              </w:rPr>
              <w:t>;</w:t>
            </w:r>
          </w:p>
          <w:p w:rsidR="002241B6" w:rsidRPr="00015920" w:rsidRDefault="002241B6" w:rsidP="008B41B0">
            <w:pPr>
              <w:pStyle w:val="a6"/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szCs w:val="24"/>
                <w:lang w:eastAsia="ar-SA"/>
              </w:rPr>
            </w:pPr>
            <w:r w:rsidRPr="00C04EAA">
              <w:rPr>
                <w:szCs w:val="24"/>
                <w:lang w:eastAsia="ar-SA"/>
              </w:rPr>
              <w:t>- кадастровых работ и др.</w:t>
            </w:r>
          </w:p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015920">
              <w:t xml:space="preserve">В состав сводного сметного расчета должны быть включены затраты на получение </w:t>
            </w:r>
            <w:r>
              <w:t>заключения государственной экспертизы по проектной документации и</w:t>
            </w:r>
            <w:r w:rsidRPr="00015920">
              <w:t xml:space="preserve"> </w:t>
            </w:r>
            <w:r>
              <w:t>заключения</w:t>
            </w:r>
            <w:r w:rsidRPr="00015920">
              <w:t xml:space="preserve"> о достоверности </w:t>
            </w:r>
            <w:r>
              <w:t xml:space="preserve">определения </w:t>
            </w:r>
            <w:r w:rsidRPr="00015920">
              <w:t>сметной стоимости строительства.</w:t>
            </w:r>
          </w:p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015920">
              <w:t>В состав смет по проекту должны входить:</w:t>
            </w:r>
          </w:p>
          <w:p w:rsidR="002241B6" w:rsidRPr="00015920" w:rsidRDefault="002241B6" w:rsidP="002241B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num" w:pos="1215"/>
              </w:tabs>
              <w:suppressAutoHyphens w:val="0"/>
              <w:spacing w:after="0"/>
              <w:ind w:left="0" w:firstLine="0"/>
              <w:jc w:val="both"/>
            </w:pPr>
            <w:r w:rsidRPr="00015920">
              <w:t>локальные сметы;</w:t>
            </w:r>
          </w:p>
          <w:p w:rsidR="002241B6" w:rsidRPr="00015920" w:rsidRDefault="002241B6" w:rsidP="002241B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num" w:pos="1215"/>
              </w:tabs>
              <w:suppressAutoHyphens w:val="0"/>
              <w:spacing w:after="0"/>
              <w:ind w:left="0" w:firstLine="0"/>
              <w:jc w:val="both"/>
            </w:pPr>
            <w:r w:rsidRPr="00015920">
              <w:lastRenderedPageBreak/>
              <w:t>объектные сметы;</w:t>
            </w:r>
          </w:p>
          <w:p w:rsidR="002241B6" w:rsidRPr="00015920" w:rsidRDefault="002241B6" w:rsidP="002241B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num" w:pos="1215"/>
              </w:tabs>
              <w:suppressAutoHyphens w:val="0"/>
              <w:spacing w:after="0"/>
              <w:ind w:left="0" w:firstLine="0"/>
              <w:jc w:val="both"/>
            </w:pPr>
            <w:r w:rsidRPr="00015920">
              <w:t>сводный сметный расчет;</w:t>
            </w:r>
          </w:p>
          <w:p w:rsidR="002241B6" w:rsidRPr="00015920" w:rsidRDefault="002241B6" w:rsidP="002241B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num" w:pos="1215"/>
              </w:tabs>
              <w:suppressAutoHyphens w:val="0"/>
              <w:spacing w:after="0"/>
              <w:ind w:left="0" w:firstLine="0"/>
              <w:jc w:val="both"/>
            </w:pPr>
            <w:r w:rsidRPr="00015920">
              <w:t>пояснительная записка.</w:t>
            </w:r>
          </w:p>
          <w:p w:rsidR="002241B6" w:rsidRPr="00015920" w:rsidRDefault="002241B6" w:rsidP="002241B6">
            <w:pPr>
              <w:numPr>
                <w:ilvl w:val="0"/>
                <w:numId w:val="2"/>
              </w:numPr>
              <w:tabs>
                <w:tab w:val="left" w:pos="317"/>
                <w:tab w:val="left" w:pos="900"/>
              </w:tabs>
              <w:suppressAutoHyphens/>
              <w:overflowPunct w:val="0"/>
              <w:autoSpaceDE w:val="0"/>
              <w:autoSpaceDN w:val="0"/>
              <w:adjustRightInd w:val="0"/>
              <w:ind w:left="10" w:hanging="10"/>
              <w:textAlignment w:val="baseline"/>
            </w:pPr>
            <w:r w:rsidRPr="00015920">
              <w:t>Разбивка</w:t>
            </w:r>
            <w:r>
              <w:t xml:space="preserve"> разделов локальных смет должна </w:t>
            </w:r>
            <w:r w:rsidRPr="00015920">
              <w:t>соответствовать видам строительно-монтажных работ, с обязательными итогами по данным разделам.</w:t>
            </w:r>
          </w:p>
          <w:p w:rsidR="002241B6" w:rsidRPr="0099003A" w:rsidRDefault="002241B6" w:rsidP="002241B6">
            <w:pPr>
              <w:pStyle w:val="a6"/>
              <w:numPr>
                <w:ilvl w:val="0"/>
                <w:numId w:val="2"/>
              </w:numPr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 w:hanging="33"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 w:rsidRPr="0099003A">
              <w:rPr>
                <w:szCs w:val="24"/>
                <w:lang w:eastAsia="ar-SA"/>
              </w:rPr>
              <w:t xml:space="preserve">На материалы и оборудования, учтенные по цене </w:t>
            </w:r>
          </w:p>
          <w:p w:rsidR="002241B6" w:rsidRPr="00015920" w:rsidRDefault="002241B6" w:rsidP="008B41B0">
            <w:pPr>
              <w:pStyle w:val="a6"/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szCs w:val="24"/>
                <w:lang w:eastAsia="ar-SA"/>
              </w:rPr>
            </w:pPr>
            <w:r w:rsidRPr="00015920">
              <w:rPr>
                <w:szCs w:val="24"/>
                <w:lang w:eastAsia="ar-SA"/>
              </w:rPr>
              <w:t>поставщика – предоставить прайс-лис</w:t>
            </w:r>
            <w:r>
              <w:rPr>
                <w:szCs w:val="24"/>
                <w:lang w:eastAsia="ar-SA"/>
              </w:rPr>
              <w:t>ты, подписанные проектировщиком, с учетом мониторинга, проведенного проектировщиком на основе приложенных не менее трех прайс-листов поставщиков (данные мониторинга приложить).</w:t>
            </w:r>
          </w:p>
          <w:p w:rsidR="002241B6" w:rsidRDefault="002241B6" w:rsidP="002241B6">
            <w:pPr>
              <w:pStyle w:val="a6"/>
              <w:numPr>
                <w:ilvl w:val="0"/>
                <w:numId w:val="2"/>
              </w:numPr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 w:hanging="33"/>
              <w:jc w:val="both"/>
              <w:textAlignment w:val="baseline"/>
              <w:rPr>
                <w:szCs w:val="24"/>
                <w:lang w:eastAsia="ar-SA"/>
              </w:rPr>
            </w:pPr>
            <w:r w:rsidRPr="00015920">
              <w:rPr>
                <w:szCs w:val="24"/>
                <w:lang w:eastAsia="ar-SA"/>
              </w:rPr>
              <w:t>При необходимости в главу 1 сводного сметного расчета включить налог на землю.</w:t>
            </w:r>
          </w:p>
          <w:p w:rsidR="002241B6" w:rsidRPr="006F03F2" w:rsidRDefault="002241B6" w:rsidP="002241B6">
            <w:pPr>
              <w:pStyle w:val="a6"/>
              <w:numPr>
                <w:ilvl w:val="0"/>
                <w:numId w:val="2"/>
              </w:numPr>
              <w:tabs>
                <w:tab w:val="left" w:pos="316"/>
                <w:tab w:val="left" w:pos="900"/>
              </w:tabs>
              <w:overflowPunct w:val="0"/>
              <w:autoSpaceDE w:val="0"/>
              <w:autoSpaceDN w:val="0"/>
              <w:adjustRightInd w:val="0"/>
              <w:ind w:left="33" w:hanging="33"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Включить в сводный сметный расчет затраты на строительный контроль согласно постановлению Правительства РФ от 21.06.2010г. №468, непредвиденные затраты учесть в размере 2%.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>12.</w:t>
            </w:r>
            <w:r w:rsidRPr="00015920">
              <w:t>В случае необходимости выноса инженерных сетей из-под пятна застройки согласно ТУ, предусмотреть данные затраты как компенсацию затрат собственника.</w:t>
            </w:r>
          </w:p>
        </w:tc>
      </w:tr>
      <w:tr w:rsidR="002241B6" w:rsidTr="002241B6">
        <w:trPr>
          <w:trHeight w:val="2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lastRenderedPageBreak/>
              <w:t>16.Перечень исходных данных для проектирования, предоставляемых Заказчиком.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Pr="001B6750" w:rsidRDefault="002241B6" w:rsidP="008B41B0">
            <w:pPr>
              <w:widowControl w:val="0"/>
              <w:rPr>
                <w:color w:val="FF0000"/>
              </w:rPr>
            </w:pPr>
            <w:r>
              <w:t xml:space="preserve">«Концепция», утвержденная  губернатором Свердловской области Е.В. </w:t>
            </w:r>
            <w:proofErr w:type="spellStart"/>
            <w:r>
              <w:t>Куйвашевым</w:t>
            </w:r>
            <w:proofErr w:type="spellEnd"/>
            <w:r>
              <w:t xml:space="preserve"> </w:t>
            </w:r>
            <w:r w:rsidRPr="00DB05EA">
              <w:t>(Первый вариант)</w:t>
            </w:r>
            <w:r>
              <w:t xml:space="preserve"> </w:t>
            </w:r>
          </w:p>
          <w:p w:rsidR="002241B6" w:rsidRDefault="002241B6" w:rsidP="008B41B0">
            <w:pPr>
              <w:widowControl w:val="0"/>
            </w:pPr>
            <w:r>
              <w:t>Письмо Министерства общего и профессионального образования Свердловской области от 30.07.2015г. №02-01-82/6165.</w:t>
            </w:r>
          </w:p>
        </w:tc>
      </w:tr>
      <w:tr w:rsidR="002241B6" w:rsidTr="002241B6">
        <w:trPr>
          <w:trHeight w:val="5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17. Требования по разработке ИТМ ГО и ЧС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 xml:space="preserve">Согласно исходным данным регионального управления ГО и ЧС и </w:t>
            </w:r>
            <w:r>
              <w:rPr>
                <w:iCs/>
              </w:rPr>
              <w:t xml:space="preserve">требованиям  </w:t>
            </w:r>
            <w:proofErr w:type="spellStart"/>
            <w:r w:rsidRPr="003426B7">
              <w:rPr>
                <w:iCs/>
              </w:rPr>
              <w:t>СНиП</w:t>
            </w:r>
            <w:proofErr w:type="spellEnd"/>
            <w:r w:rsidRPr="003426B7">
              <w:rPr>
                <w:iCs/>
              </w:rPr>
              <w:t xml:space="preserve"> 2.01.51-90</w:t>
            </w:r>
            <w:r>
              <w:rPr>
                <w:i/>
                <w:iCs/>
                <w:sz w:val="28"/>
              </w:rPr>
              <w:t xml:space="preserve">  </w:t>
            </w:r>
          </w:p>
        </w:tc>
      </w:tr>
      <w:tr w:rsidR="002241B6" w:rsidTr="002241B6">
        <w:trPr>
          <w:trHeight w:val="69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1B6" w:rsidRDefault="002241B6" w:rsidP="008B41B0">
            <w:r>
              <w:t>18</w:t>
            </w:r>
            <w:r w:rsidRPr="002C35CE">
              <w:t>. Порядок организации проведения согласования  проектной  и рабочей документации.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B6" w:rsidRDefault="002241B6" w:rsidP="008B41B0">
            <w:pPr>
              <w:widowControl w:val="0"/>
              <w:snapToGrid w:val="0"/>
            </w:pPr>
            <w:r>
              <w:t>Проектировщик выполняет:</w:t>
            </w:r>
          </w:p>
          <w:p w:rsidR="002241B6" w:rsidRDefault="002241B6" w:rsidP="008B41B0">
            <w:pPr>
              <w:widowControl w:val="0"/>
              <w:snapToGrid w:val="0"/>
            </w:pPr>
            <w:r>
              <w:t xml:space="preserve">- согласование фасадов (в цветном виде)  с Главным архитектором Свердловской области и Главным архитектором  </w:t>
            </w:r>
            <w:proofErr w:type="gramStart"/>
            <w:r>
              <w:t>г</w:t>
            </w:r>
            <w:proofErr w:type="gramEnd"/>
            <w:r>
              <w:t>. Верхняя Пышма.</w:t>
            </w:r>
          </w:p>
          <w:p w:rsidR="002241B6" w:rsidRDefault="002241B6" w:rsidP="008B41B0">
            <w:pPr>
              <w:widowControl w:val="0"/>
            </w:pPr>
            <w:r>
              <w:t>- согласование с Управлением архитектуры  г</w:t>
            </w:r>
            <w:proofErr w:type="gramStart"/>
            <w:r>
              <w:t>.В</w:t>
            </w:r>
            <w:proofErr w:type="gramEnd"/>
            <w:r>
              <w:t xml:space="preserve">ерхняя Пышма  Раздела 2 «Схема планировки организации земельного участка ( план благоустройства и озеленения и  сводный план инженерно-технического обеспечения);   </w:t>
            </w:r>
          </w:p>
          <w:p w:rsidR="002241B6" w:rsidRDefault="002241B6" w:rsidP="008B41B0">
            <w:pPr>
              <w:widowControl w:val="0"/>
            </w:pPr>
            <w:r>
              <w:t xml:space="preserve">- согласование проектной  и рабочей документации по разделам   наружные инженерные сети с организациями, выдавшими технические условия. </w:t>
            </w:r>
          </w:p>
        </w:tc>
      </w:tr>
    </w:tbl>
    <w:p w:rsidR="002241B6" w:rsidRPr="004515F1" w:rsidRDefault="002241B6" w:rsidP="002241B6">
      <w:pPr>
        <w:keepNext/>
        <w:keepLines/>
        <w:shd w:val="clear" w:color="auto" w:fill="FFFFFF"/>
        <w:rPr>
          <w:b/>
          <w:i/>
        </w:rPr>
      </w:pPr>
    </w:p>
    <w:p w:rsidR="002241B6" w:rsidRPr="004515F1" w:rsidRDefault="002241B6" w:rsidP="002241B6">
      <w:pPr>
        <w:pStyle w:val="ConsNonformat"/>
        <w:keepNext/>
        <w:keepLines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56"/>
        <w:gridCol w:w="15"/>
      </w:tblGrid>
      <w:tr w:rsidR="002241B6" w:rsidRPr="004515F1" w:rsidTr="008B41B0">
        <w:trPr>
          <w:gridAfter w:val="1"/>
          <w:wAfter w:w="16" w:type="dxa"/>
        </w:trPr>
        <w:tc>
          <w:tcPr>
            <w:tcW w:w="10280" w:type="dxa"/>
          </w:tcPr>
          <w:p w:rsidR="002241B6" w:rsidRPr="004515F1" w:rsidRDefault="002241B6" w:rsidP="008B41B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1B6" w:rsidRPr="004515F1" w:rsidTr="008B41B0">
        <w:tblPrEx>
          <w:tblLook w:val="01E0"/>
        </w:tblPrEx>
        <w:tc>
          <w:tcPr>
            <w:tcW w:w="10296" w:type="dxa"/>
            <w:gridSpan w:val="2"/>
          </w:tcPr>
          <w:p w:rsidR="002241B6" w:rsidRPr="004515F1" w:rsidRDefault="002241B6" w:rsidP="008B41B0">
            <w:pPr>
              <w:keepNext/>
              <w:keepLines/>
            </w:pPr>
          </w:p>
        </w:tc>
      </w:tr>
    </w:tbl>
    <w:p w:rsidR="002241B6" w:rsidRPr="004515F1" w:rsidRDefault="002241B6" w:rsidP="002241B6">
      <w:pPr>
        <w:pStyle w:val="ConsNonformat"/>
        <w:keepNext/>
        <w:keepLines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241B6" w:rsidRPr="004515F1" w:rsidRDefault="002241B6" w:rsidP="002241B6">
      <w:pPr>
        <w:pStyle w:val="ConsNonformat"/>
        <w:keepNext/>
        <w:keepLines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Look w:val="04A0"/>
      </w:tblPr>
      <w:tblGrid>
        <w:gridCol w:w="4782"/>
        <w:gridCol w:w="5298"/>
      </w:tblGrid>
      <w:tr w:rsidR="002241B6" w:rsidRPr="004515F1" w:rsidTr="008B41B0">
        <w:tc>
          <w:tcPr>
            <w:tcW w:w="10080" w:type="dxa"/>
            <w:gridSpan w:val="2"/>
          </w:tcPr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5F1">
              <w:rPr>
                <w:b/>
              </w:rPr>
              <w:t>Подписи сторон</w:t>
            </w: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1B6" w:rsidRPr="004515F1" w:rsidTr="008B41B0">
        <w:tc>
          <w:tcPr>
            <w:tcW w:w="4782" w:type="dxa"/>
          </w:tcPr>
          <w:p w:rsidR="002241B6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15F1">
              <w:rPr>
                <w:b/>
              </w:rPr>
              <w:t>Начальник</w:t>
            </w:r>
          </w:p>
          <w:p w:rsidR="002241B6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ГКУ СО «УКС Свердловской области»</w:t>
            </w: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15F1">
              <w:rPr>
                <w:b/>
              </w:rPr>
              <w:t xml:space="preserve">__________________/М.Ю. </w:t>
            </w:r>
            <w:proofErr w:type="spellStart"/>
            <w:r w:rsidRPr="004515F1">
              <w:rPr>
                <w:b/>
              </w:rPr>
              <w:t>Мильчакова</w:t>
            </w:r>
            <w:proofErr w:type="spellEnd"/>
            <w:r w:rsidRPr="004515F1">
              <w:rPr>
                <w:b/>
              </w:rPr>
              <w:t>/</w:t>
            </w: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ЭЦ</w:t>
            </w:r>
            <w:r w:rsidRPr="004515F1">
              <w:rPr>
                <w:b/>
              </w:rPr>
              <w:t>П</w:t>
            </w:r>
          </w:p>
        </w:tc>
        <w:tc>
          <w:tcPr>
            <w:tcW w:w="5298" w:type="dxa"/>
          </w:tcPr>
          <w:p w:rsidR="002241B6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241B6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ООО «Строй-Проект»</w:t>
            </w: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15F1">
              <w:rPr>
                <w:b/>
              </w:rPr>
              <w:t>_________</w:t>
            </w:r>
            <w:r>
              <w:rPr>
                <w:b/>
              </w:rPr>
              <w:t xml:space="preserve">_______________/А.П. </w:t>
            </w:r>
            <w:proofErr w:type="spellStart"/>
            <w:r>
              <w:rPr>
                <w:b/>
              </w:rPr>
              <w:t>Делидов</w:t>
            </w:r>
            <w:proofErr w:type="spellEnd"/>
            <w:r w:rsidRPr="004515F1">
              <w:rPr>
                <w:b/>
              </w:rPr>
              <w:t>/</w:t>
            </w: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ЭЦ</w:t>
            </w:r>
            <w:r w:rsidRPr="004515F1">
              <w:rPr>
                <w:b/>
              </w:rPr>
              <w:t>П</w:t>
            </w:r>
          </w:p>
          <w:p w:rsidR="002241B6" w:rsidRPr="004515F1" w:rsidRDefault="002241B6" w:rsidP="008B4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D534D" w:rsidRDefault="003D534D"/>
    <w:sectPr w:rsidR="003D534D" w:rsidSect="003D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FDD"/>
    <w:multiLevelType w:val="hybridMultilevel"/>
    <w:tmpl w:val="25521B8A"/>
    <w:lvl w:ilvl="0" w:tplc="17E05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535D9"/>
    <w:multiLevelType w:val="hybridMultilevel"/>
    <w:tmpl w:val="0EE267A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1B6"/>
    <w:rsid w:val="002241B6"/>
    <w:rsid w:val="003D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1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241B6"/>
    <w:pPr>
      <w:suppressAutoHyphens/>
      <w:spacing w:after="120"/>
      <w:jc w:val="left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241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241B6"/>
    <w:pPr>
      <w:suppressAutoHyphens/>
      <w:spacing w:before="280" w:after="280"/>
      <w:jc w:val="left"/>
    </w:pPr>
    <w:rPr>
      <w:lang w:eastAsia="ar-SA"/>
    </w:rPr>
  </w:style>
  <w:style w:type="paragraph" w:styleId="a6">
    <w:name w:val="List Paragraph"/>
    <w:basedOn w:val="a"/>
    <w:uiPriority w:val="34"/>
    <w:qFormat/>
    <w:rsid w:val="002241B6"/>
    <w:pPr>
      <w:ind w:left="720"/>
      <w:contextualSpacing/>
      <w:jc w:val="left"/>
    </w:pPr>
    <w:rPr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12472</Characters>
  <Application>Microsoft Office Word</Application>
  <DocSecurity>0</DocSecurity>
  <Lines>103</Lines>
  <Paragraphs>29</Paragraphs>
  <ScaleCrop>false</ScaleCrop>
  <Company>Kraftway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dc:description/>
  <cp:lastModifiedBy>yakovlev</cp:lastModifiedBy>
  <cp:revision>2</cp:revision>
  <dcterms:created xsi:type="dcterms:W3CDTF">2015-10-30T05:40:00Z</dcterms:created>
  <dcterms:modified xsi:type="dcterms:W3CDTF">2015-10-30T05:42:00Z</dcterms:modified>
</cp:coreProperties>
</file>