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6D" w:rsidRDefault="00510A6D" w:rsidP="00510A6D">
      <w:pPr>
        <w:jc w:val="center"/>
        <w:rPr>
          <w:b/>
          <w:sz w:val="28"/>
          <w:szCs w:val="28"/>
        </w:rPr>
      </w:pPr>
      <w:r w:rsidRPr="004E1B13">
        <w:rPr>
          <w:b/>
          <w:sz w:val="28"/>
          <w:szCs w:val="28"/>
        </w:rPr>
        <w:t xml:space="preserve">Часть </w:t>
      </w:r>
      <w:r w:rsidRPr="004E1B13">
        <w:rPr>
          <w:b/>
          <w:sz w:val="28"/>
          <w:szCs w:val="28"/>
          <w:lang w:val="en-US"/>
        </w:rPr>
        <w:t>II</w:t>
      </w:r>
      <w:r w:rsidRPr="004E1B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Техническое задание</w:t>
      </w: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Pr="00C13A3E" w:rsidRDefault="00510A6D" w:rsidP="00510A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 на проектирование</w:t>
      </w:r>
    </w:p>
    <w:p w:rsidR="00510A6D" w:rsidRDefault="00510A6D" w:rsidP="00510A6D">
      <w:pPr>
        <w:jc w:val="center"/>
        <w:rPr>
          <w:b/>
          <w:sz w:val="28"/>
          <w:szCs w:val="28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98"/>
        <w:gridCol w:w="5713"/>
      </w:tblGrid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Разработка проектно-сметной документации по объекту «Строительство культурно - досугового центра в пос. Жилино Неманского городского округа» (привязка типового проекта сельского дома культуры на 200 мест)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ind w:right="21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Калининградская область, Неманский городской округ, п. Жилино, ул. Советская, д.12а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3. 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Основание для разработки проектной документации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ind w:right="21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Федеральная целевая программа «Развитие культуры и туризма» на 2013-2020 годы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spacing w:after="60"/>
              <w:ind w:right="21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Администрация Неманского городского округа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jc w:val="both"/>
              <w:rPr>
                <w:rFonts w:ascii="Verdana" w:eastAsia="Times New Roman" w:hAnsi="Verdana"/>
                <w:sz w:val="17"/>
                <w:szCs w:val="17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spacing w:after="60"/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spacing w:after="60"/>
              <w:ind w:right="21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Определяется по результатам торгов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Требования к проектной организации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Наличие свидетельства о членстве в саморегулирующей организаций (СРО) в области архитектурно-строительного проектирования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Субподрядные организации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Привлекаются генеральной проектной организацией по согласованию с Заказчиком</w:t>
            </w:r>
          </w:p>
        </w:tc>
      </w:tr>
      <w:tr w:rsidR="00510A6D" w:rsidRPr="00C13A3E" w:rsidTr="00712FA9">
        <w:trPr>
          <w:trHeight w:val="339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Стадийность проектирования 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Проектная документация и рабочая документация</w:t>
            </w:r>
          </w:p>
        </w:tc>
      </w:tr>
      <w:tr w:rsidR="00510A6D" w:rsidRPr="00C13A3E" w:rsidTr="00712FA9">
        <w:trPr>
          <w:trHeight w:val="339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Новое строительство</w:t>
            </w:r>
          </w:p>
        </w:tc>
      </w:tr>
      <w:tr w:rsidR="00510A6D" w:rsidRPr="00C13A3E" w:rsidTr="00712FA9">
        <w:trPr>
          <w:trHeight w:val="339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Объём </w:t>
            </w:r>
            <w:r>
              <w:rPr>
                <w:rFonts w:eastAsia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1. Анализ исходных данных, выполнение необходимых дополнительных изысканий.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2. Разработка проектной и рабочей документации.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3. Государственная экспертиза проектной документации и результатов инженерных изысканий, проверка достоверности определения сметной стоимости.</w:t>
            </w:r>
          </w:p>
        </w:tc>
      </w:tr>
      <w:tr w:rsidR="00510A6D" w:rsidRPr="00C13A3E" w:rsidTr="00712FA9">
        <w:trPr>
          <w:trHeight w:val="339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sz w:val="24"/>
                <w:szCs w:val="24"/>
              </w:rPr>
              <w:t>оказания всех услуг</w:t>
            </w:r>
            <w:r w:rsidRPr="00C13A3E">
              <w:rPr>
                <w:rFonts w:eastAsia="Times New Roman"/>
                <w:sz w:val="24"/>
                <w:szCs w:val="24"/>
              </w:rPr>
              <w:t xml:space="preserve"> по разработке проектно-сметной документации, включая государственную экспертизу проектной документации и проверку достоверности определения сметной стоимости, составляет 90 (девяносто)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3A3E">
              <w:rPr>
                <w:rFonts w:eastAsia="Times New Roman"/>
                <w:sz w:val="24"/>
                <w:szCs w:val="24"/>
              </w:rPr>
              <w:t>дней с даты заключения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A6D" w:rsidRPr="00C13A3E" w:rsidTr="00712FA9">
        <w:trPr>
          <w:trHeight w:val="574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Исходные данные, выдаваемые Заказчиком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Градостроительный план земельного участка с кадастровым номером 39:07:020406:98.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Технические условия №В-7877/17 для присоединения к электрическим сетям АО «</w:t>
            </w:r>
            <w:proofErr w:type="spellStart"/>
            <w:r w:rsidRPr="00C13A3E">
              <w:rPr>
                <w:rFonts w:eastAsia="Times New Roman"/>
                <w:sz w:val="24"/>
                <w:szCs w:val="24"/>
              </w:rPr>
              <w:t>Янтарьэнерго</w:t>
            </w:r>
            <w:proofErr w:type="spellEnd"/>
            <w:r w:rsidRPr="00C13A3E">
              <w:rPr>
                <w:rFonts w:eastAsia="Times New Roman"/>
                <w:sz w:val="24"/>
                <w:szCs w:val="24"/>
              </w:rPr>
              <w:t>» от 14.11.2017 г.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Технические условия на водоснабжение и водоотведение, выданные МУПЖКЖ «</w:t>
            </w:r>
            <w:proofErr w:type="spellStart"/>
            <w:r w:rsidRPr="00C13A3E">
              <w:rPr>
                <w:rFonts w:eastAsia="Times New Roman"/>
                <w:sz w:val="24"/>
                <w:szCs w:val="24"/>
              </w:rPr>
              <w:t>Новоколхозное</w:t>
            </w:r>
            <w:proofErr w:type="spellEnd"/>
            <w:r w:rsidRPr="00C13A3E">
              <w:rPr>
                <w:rFonts w:eastAsia="Times New Roman"/>
                <w:sz w:val="24"/>
                <w:szCs w:val="24"/>
              </w:rPr>
              <w:t>», от 08.11.2017 г.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Технические условия на теплоснабжение, выданные МУПЖКЖ «</w:t>
            </w:r>
            <w:proofErr w:type="spellStart"/>
            <w:r w:rsidRPr="00C13A3E">
              <w:rPr>
                <w:rFonts w:eastAsia="Times New Roman"/>
                <w:sz w:val="24"/>
                <w:szCs w:val="24"/>
              </w:rPr>
              <w:t>Новоколхозное</w:t>
            </w:r>
            <w:proofErr w:type="spellEnd"/>
            <w:r w:rsidRPr="00C13A3E">
              <w:rPr>
                <w:rFonts w:eastAsia="Times New Roman"/>
                <w:sz w:val="24"/>
                <w:szCs w:val="24"/>
              </w:rPr>
              <w:t>», от 07.11.2017 г.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Материалы типового проекта сельского дома культуры на 200 мест.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Результаты инженерно-геодезических изысканий.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Результаты инженерно-геологических изысканий. </w:t>
            </w:r>
          </w:p>
        </w:tc>
      </w:tr>
      <w:tr w:rsidR="00510A6D" w:rsidRPr="00C13A3E" w:rsidTr="00712FA9">
        <w:trPr>
          <w:trHeight w:val="574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Особые условия для проектирования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1. Выполнить проектную документацию на основе типового проекта сельского дома культуры на 200 мест, разработанного ГУП Республики Татарстан, Головная территориальная проектно-изыскательская, научно-производственная фирма «</w:t>
            </w:r>
            <w:proofErr w:type="spellStart"/>
            <w:r w:rsidRPr="00C13A3E">
              <w:rPr>
                <w:rFonts w:eastAsia="Times New Roman"/>
                <w:sz w:val="24"/>
                <w:szCs w:val="24"/>
              </w:rPr>
              <w:t>Татинвестгражданпроект</w:t>
            </w:r>
            <w:proofErr w:type="spellEnd"/>
            <w:r w:rsidRPr="00C13A3E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шифр типового проекта – 0025.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2. Отопление культурно - досугового центра предусмотреть от котла на твердом топливе.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3. Внутреннюю отделку помещений принять в соответствии с функциональным назначением помещений и с учетом требований действующих санитарных норм и правил.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4. Наружную отделку здания принять с учетом существующей застройки, с применением современных отделочных материалов. Цветовое решение фасадов согласовать с Заказчиком.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5. Благоустройство территории принять в соответствии с действующими нормативными требованиями. Предусмотреть парковку и наружное освещение прилегающей к объекту территории.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6. Проектная документация на внеплощадочные инженерные сети выполняется на основании технических условий на подключение к существующим сетям, выданных эксплуатирующими организациями.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7. При выборе инженерного оборудования и материалов руководствоваться требованиями экономичности, эффективности и безопасности.</w:t>
            </w:r>
          </w:p>
        </w:tc>
      </w:tr>
      <w:tr w:rsidR="00510A6D" w:rsidRPr="00C13A3E" w:rsidTr="00712FA9">
        <w:trPr>
          <w:trHeight w:val="3818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Нормативно-правовая база для разработки проекта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- Градостроительный кодекс РФ от 29.12.2004г. №190-ФЗ.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- Постановление Правительства Российской Федерации от 16.02.2008 г. №87 «О составе разделов проектной документации и требованиях к их содержанию».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- Приказ Минрегиона РФ от 02.04.2009 г. №108 «Об утверждении правил выполнения и оформления текстовых и графических материалов, входящих в состав проектной и рабочей документации».</w:t>
            </w:r>
          </w:p>
          <w:p w:rsidR="00510A6D" w:rsidRPr="00C13A3E" w:rsidRDefault="00510A6D" w:rsidP="00712FA9">
            <w:pPr>
              <w:spacing w:before="90" w:after="90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510A6D" w:rsidRPr="00C13A3E" w:rsidTr="00712FA9">
        <w:trPr>
          <w:trHeight w:val="850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3A3E">
              <w:rPr>
                <w:rFonts w:eastAsia="Times New Roman"/>
                <w:color w:val="000000"/>
                <w:sz w:val="24"/>
                <w:szCs w:val="24"/>
              </w:rPr>
              <w:t xml:space="preserve">Требования по </w:t>
            </w:r>
            <w:proofErr w:type="gramStart"/>
            <w:r w:rsidRPr="00C13A3E">
              <w:rPr>
                <w:rFonts w:eastAsia="Times New Roman"/>
                <w:color w:val="000000"/>
                <w:sz w:val="24"/>
                <w:szCs w:val="24"/>
              </w:rPr>
              <w:t>разработке  сметной</w:t>
            </w:r>
            <w:proofErr w:type="gramEnd"/>
            <w:r w:rsidRPr="00C13A3E">
              <w:rPr>
                <w:rFonts w:eastAsia="Times New Roman"/>
                <w:color w:val="000000"/>
                <w:sz w:val="24"/>
                <w:szCs w:val="24"/>
              </w:rPr>
              <w:t xml:space="preserve"> документации 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При определении сметной стоимости необходимо руководствоваться действующими сметными нормами и правилами.</w:t>
            </w:r>
          </w:p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Сметную документацию выполнить в базисном уровне цен в ФЕР -2001 и в текущих ценах в соответствии с Методикой определения стоимости строительной продукции на территории Российской Федерации</w:t>
            </w:r>
          </w:p>
        </w:tc>
      </w:tr>
      <w:tr w:rsidR="00510A6D" w:rsidRPr="00C13A3E" w:rsidTr="00712FA9">
        <w:trPr>
          <w:trHeight w:val="567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3A3E">
              <w:rPr>
                <w:rFonts w:eastAsia="Times New Roman"/>
                <w:color w:val="000000"/>
                <w:sz w:val="24"/>
                <w:szCs w:val="24"/>
              </w:rPr>
              <w:t>Требования о порядке проведения согласований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 Проектно-сметная документация согласовывается в порядке, установленном действующим законодательством</w:t>
            </w:r>
          </w:p>
        </w:tc>
      </w:tr>
      <w:tr w:rsidR="00510A6D" w:rsidRPr="00C13A3E" w:rsidTr="00712FA9">
        <w:trPr>
          <w:trHeight w:val="567"/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3A3E">
              <w:rPr>
                <w:rFonts w:eastAsia="Times New Roman"/>
                <w:color w:val="000000"/>
                <w:sz w:val="24"/>
                <w:szCs w:val="24"/>
              </w:rPr>
              <w:t>Требования к экспертизе проекта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Стоимость прохождения экспертизы входит в стоимость разработки проектно-сметной документации</w:t>
            </w:r>
          </w:p>
        </w:tc>
      </w:tr>
      <w:tr w:rsidR="00510A6D" w:rsidRPr="00C13A3E" w:rsidTr="00712FA9">
        <w:trPr>
          <w:jc w:val="center"/>
        </w:trPr>
        <w:tc>
          <w:tcPr>
            <w:tcW w:w="604" w:type="dxa"/>
          </w:tcPr>
          <w:p w:rsidR="00510A6D" w:rsidRPr="00C13A3E" w:rsidRDefault="00510A6D" w:rsidP="00712FA9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698" w:type="dxa"/>
          </w:tcPr>
          <w:p w:rsidR="00510A6D" w:rsidRPr="00C13A3E" w:rsidRDefault="00510A6D" w:rsidP="00712FA9">
            <w:pPr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>Перечень материалов, подлежащих сдаче по окончанию разработки проекта</w:t>
            </w:r>
          </w:p>
        </w:tc>
        <w:tc>
          <w:tcPr>
            <w:tcW w:w="5713" w:type="dxa"/>
          </w:tcPr>
          <w:p w:rsidR="00510A6D" w:rsidRPr="00C13A3E" w:rsidRDefault="00510A6D" w:rsidP="00712FA9">
            <w:pPr>
              <w:spacing w:before="90" w:after="90"/>
              <w:jc w:val="both"/>
              <w:rPr>
                <w:rFonts w:eastAsia="Times New Roman"/>
                <w:sz w:val="24"/>
                <w:szCs w:val="24"/>
              </w:rPr>
            </w:pPr>
            <w:r w:rsidRPr="00C13A3E">
              <w:rPr>
                <w:rFonts w:eastAsia="Times New Roman"/>
                <w:sz w:val="24"/>
                <w:szCs w:val="24"/>
              </w:rPr>
              <w:t xml:space="preserve">Проектно-сметная документация представляется на бумажном носителе в 4-х экземплярах и 1 экземпляр в электронном виде (текстовая часть в формате: </w:t>
            </w:r>
            <w:r w:rsidRPr="00C13A3E">
              <w:rPr>
                <w:rFonts w:eastAsia="Times New Roman"/>
                <w:sz w:val="24"/>
                <w:szCs w:val="24"/>
                <w:lang w:val="en-US"/>
              </w:rPr>
              <w:t>Word</w:t>
            </w:r>
            <w:r w:rsidRPr="00C13A3E">
              <w:rPr>
                <w:rFonts w:eastAsia="Times New Roman"/>
                <w:sz w:val="24"/>
                <w:szCs w:val="24"/>
              </w:rPr>
              <w:t xml:space="preserve">, </w:t>
            </w:r>
            <w:r w:rsidRPr="00C13A3E">
              <w:rPr>
                <w:rFonts w:eastAsia="Times New Roman"/>
                <w:sz w:val="24"/>
                <w:szCs w:val="24"/>
                <w:lang w:val="en-US"/>
              </w:rPr>
              <w:t>E</w:t>
            </w:r>
            <w:proofErr w:type="spellStart"/>
            <w:r w:rsidRPr="00C13A3E">
              <w:rPr>
                <w:rFonts w:eastAsia="Times New Roman"/>
                <w:sz w:val="24"/>
                <w:szCs w:val="24"/>
              </w:rPr>
              <w:t>хс</w:t>
            </w:r>
            <w:proofErr w:type="spellEnd"/>
            <w:r w:rsidRPr="00C13A3E">
              <w:rPr>
                <w:rFonts w:eastAsia="Times New Roman"/>
                <w:sz w:val="24"/>
                <w:szCs w:val="24"/>
                <w:lang w:val="en-US"/>
              </w:rPr>
              <w:t>el</w:t>
            </w:r>
            <w:r w:rsidRPr="00C13A3E">
              <w:rPr>
                <w:rFonts w:eastAsia="Times New Roman"/>
                <w:sz w:val="24"/>
                <w:szCs w:val="24"/>
              </w:rPr>
              <w:t xml:space="preserve">; графическая часть в формате </w:t>
            </w:r>
            <w:r w:rsidRPr="00C13A3E">
              <w:rPr>
                <w:rFonts w:eastAsia="Times New Roman"/>
                <w:sz w:val="24"/>
                <w:szCs w:val="24"/>
                <w:lang w:val="en-US"/>
              </w:rPr>
              <w:t>PDF</w:t>
            </w:r>
            <w:r w:rsidRPr="00C13A3E">
              <w:rPr>
                <w:rFonts w:eastAsia="Times New Roman"/>
                <w:sz w:val="24"/>
                <w:szCs w:val="24"/>
              </w:rPr>
              <w:t xml:space="preserve"> и </w:t>
            </w:r>
            <w:r w:rsidRPr="00C13A3E">
              <w:rPr>
                <w:rFonts w:eastAsia="Times New Roman"/>
                <w:sz w:val="24"/>
                <w:szCs w:val="24"/>
                <w:lang w:val="en-US"/>
              </w:rPr>
              <w:t>AutoCAD</w:t>
            </w:r>
            <w:r w:rsidRPr="00C13A3E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 w:rsidP="00510A6D">
      <w:pPr>
        <w:jc w:val="center"/>
        <w:rPr>
          <w:b/>
          <w:sz w:val="28"/>
          <w:szCs w:val="28"/>
        </w:rPr>
      </w:pPr>
    </w:p>
    <w:p w:rsidR="00510A6D" w:rsidRDefault="00510A6D">
      <w:bookmarkStart w:id="0" w:name="_GoBack"/>
      <w:bookmarkEnd w:id="0"/>
    </w:p>
    <w:sectPr w:rsidR="005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6D"/>
    <w:rsid w:val="005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EBA5-74A8-4034-BCBB-31596F7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Ruzanov</dc:creator>
  <cp:keywords/>
  <dc:description/>
  <cp:lastModifiedBy>Ruzanov</cp:lastModifiedBy>
  <cp:revision>1</cp:revision>
  <dcterms:created xsi:type="dcterms:W3CDTF">2018-02-15T14:31:00Z</dcterms:created>
  <dcterms:modified xsi:type="dcterms:W3CDTF">2018-02-15T14:32:00Z</dcterms:modified>
</cp:coreProperties>
</file>