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4E" w:rsidRPr="00506D89" w:rsidRDefault="002C634E" w:rsidP="00506D89">
      <w:pPr>
        <w:spacing w:after="0" w:line="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35755">
        <w:rPr>
          <w:rFonts w:ascii="Times New Roman" w:hAnsi="Times New Roman"/>
        </w:rPr>
        <w:t>Приложение №1 к Контракту</w:t>
      </w:r>
    </w:p>
    <w:p w:rsidR="002C634E" w:rsidRPr="00A35755" w:rsidRDefault="00A35755" w:rsidP="002C634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№ </w:t>
      </w:r>
      <w:r w:rsidRPr="00A35755">
        <w:rPr>
          <w:rFonts w:ascii="Times New Roman" w:hAnsi="Times New Roman"/>
          <w:color w:val="000000"/>
        </w:rPr>
        <w:t>0372200076517000014-0089304-01</w:t>
      </w:r>
    </w:p>
    <w:p w:rsidR="002C634E" w:rsidRPr="00A35755" w:rsidRDefault="002C634E" w:rsidP="002C634E">
      <w:pPr>
        <w:spacing w:after="0"/>
        <w:jc w:val="right"/>
        <w:rPr>
          <w:rFonts w:ascii="Times New Roman" w:hAnsi="Times New Roman"/>
        </w:rPr>
      </w:pPr>
      <w:r w:rsidRPr="00A35755">
        <w:rPr>
          <w:rFonts w:ascii="Times New Roman" w:hAnsi="Times New Roman"/>
        </w:rPr>
        <w:t>От_____________2017г.</w:t>
      </w:r>
    </w:p>
    <w:p w:rsidR="002C634E" w:rsidRPr="00A35755" w:rsidRDefault="002C634E" w:rsidP="002C634E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</w:rPr>
      </w:pPr>
      <w:r w:rsidRPr="00A35755">
        <w:rPr>
          <w:rFonts w:ascii="Times New Roman" w:hAnsi="Times New Roman"/>
          <w:b/>
        </w:rPr>
        <w:t>Техническое задание</w:t>
      </w:r>
    </w:p>
    <w:p w:rsidR="00A35755" w:rsidRPr="00A35755" w:rsidRDefault="00A35755" w:rsidP="00A357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5755">
        <w:rPr>
          <w:rFonts w:ascii="Times New Roman" w:eastAsia="Times New Roman" w:hAnsi="Times New Roman"/>
          <w:sz w:val="24"/>
          <w:szCs w:val="24"/>
          <w:lang w:eastAsia="ru-RU"/>
        </w:rPr>
        <w:t>на разработку проектно-сметной документации ремонта входной группы с устройством пандуса и устройства туалета доступного для всех категорий ММГНв здании ГБОУ СОШ № 283 по адресу: г. Санкт-Петербург, ул. Стойкости, дом 33, литер А.</w:t>
      </w:r>
    </w:p>
    <w:p w:rsidR="00A35755" w:rsidRPr="00A35755" w:rsidRDefault="00A35755" w:rsidP="00A357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139" w:type="pct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2693"/>
        <w:gridCol w:w="7224"/>
      </w:tblGrid>
      <w:tr w:rsidR="00A35755" w:rsidRPr="00A35755" w:rsidTr="00093B93"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755" w:rsidRPr="00A35755" w:rsidRDefault="00A35755" w:rsidP="00A35755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b/>
                <w:bCs/>
                <w:lang w:eastAsia="ru-RU"/>
              </w:rPr>
              <w:t>№ пп.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755" w:rsidRPr="00A35755" w:rsidRDefault="00A35755" w:rsidP="00A35755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основных данных и требований</w:t>
            </w:r>
          </w:p>
        </w:tc>
        <w:tc>
          <w:tcPr>
            <w:tcW w:w="3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755" w:rsidRPr="00A35755" w:rsidRDefault="00A35755" w:rsidP="00A35755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Основные данные и требования</w:t>
            </w:r>
          </w:p>
        </w:tc>
      </w:tr>
      <w:tr w:rsidR="00A35755" w:rsidRPr="00A35755" w:rsidTr="00093B93"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755" w:rsidRPr="00A35755" w:rsidRDefault="00A35755" w:rsidP="00A35755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</w:tc>
        <w:tc>
          <w:tcPr>
            <w:tcW w:w="3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ГБОУ СОШ  № 283 Кировского района Санкт-Петербурга</w:t>
            </w:r>
          </w:p>
        </w:tc>
      </w:tr>
      <w:tr w:rsidR="00A35755" w:rsidRPr="00A35755" w:rsidTr="00093B93"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755" w:rsidRPr="00A35755" w:rsidRDefault="00A35755" w:rsidP="00A35755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Техническое сопровождение</w:t>
            </w:r>
          </w:p>
        </w:tc>
        <w:tc>
          <w:tcPr>
            <w:tcW w:w="3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СПб ГБУ «Служба заказчика администрации Кировского района»</w:t>
            </w:r>
          </w:p>
        </w:tc>
      </w:tr>
      <w:tr w:rsidR="00A35755" w:rsidRPr="00A35755" w:rsidTr="00093B93"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755" w:rsidRPr="00A35755" w:rsidRDefault="00A35755" w:rsidP="00A35755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Проектировщик</w:t>
            </w:r>
          </w:p>
        </w:tc>
        <w:tc>
          <w:tcPr>
            <w:tcW w:w="3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Организация, имеющая допуск СРО к подготовке соответствующего вида проектной документации</w:t>
            </w:r>
          </w:p>
        </w:tc>
      </w:tr>
      <w:tr w:rsidR="00A35755" w:rsidRPr="00A35755" w:rsidTr="00093B93">
        <w:trPr>
          <w:trHeight w:val="548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A35755" w:rsidRPr="00A35755" w:rsidRDefault="00A35755" w:rsidP="00A35755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Объект проектирования</w:t>
            </w:r>
          </w:p>
        </w:tc>
        <w:tc>
          <w:tcPr>
            <w:tcW w:w="348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A35755" w:rsidRPr="00A35755" w:rsidRDefault="00A35755" w:rsidP="00A35755">
            <w:pPr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Здание ГБОУ СОШ № 283 Кировского района Санкт-Петербурга по адресу:г. Санкт-Петербург, ул. Стойкости, дом 33, литер А.</w:t>
            </w:r>
          </w:p>
        </w:tc>
      </w:tr>
      <w:tr w:rsidR="00A35755" w:rsidRPr="00A35755" w:rsidTr="00093B93">
        <w:trPr>
          <w:trHeight w:val="408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755" w:rsidRPr="00A35755" w:rsidRDefault="00A35755" w:rsidP="00A35755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 xml:space="preserve">Основные показатели  </w:t>
            </w:r>
          </w:p>
        </w:tc>
        <w:tc>
          <w:tcPr>
            <w:tcW w:w="3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Общая площадь – 5588,1 кв.м., строительный объем  – 28012 куб.м. строительный объем обследуемый  – 380 куб.м.</w:t>
            </w:r>
          </w:p>
        </w:tc>
      </w:tr>
      <w:tr w:rsidR="00A35755" w:rsidRPr="00A35755" w:rsidTr="00093B93"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755" w:rsidRPr="00A35755" w:rsidRDefault="00A35755" w:rsidP="00A35755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Стадия проектирования</w:t>
            </w:r>
          </w:p>
        </w:tc>
        <w:tc>
          <w:tcPr>
            <w:tcW w:w="3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П,Р</w:t>
            </w:r>
          </w:p>
        </w:tc>
      </w:tr>
      <w:tr w:rsidR="00A35755" w:rsidRPr="00A35755" w:rsidTr="00093B93">
        <w:trPr>
          <w:trHeight w:val="2399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755" w:rsidRPr="00A35755" w:rsidRDefault="00A35755" w:rsidP="00A35755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 xml:space="preserve">Состав и содержание проекта </w:t>
            </w:r>
          </w:p>
        </w:tc>
        <w:tc>
          <w:tcPr>
            <w:tcW w:w="3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 xml:space="preserve"> Разработать проектно-сметную документацию ремонта входной группы с устройством пандуса для обеспечения доступности ММГН в соответствии с: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 xml:space="preserve"> разрешительным письмом КГА Санкт-Петербурга №221-9-12084/17 от 10.05.2017; постановлением Правительства РФ от 16.02.2008 № 87 «О составе проектной документации и требованиях к ее содержанию», Федеральным законом от 30 декабря 2009 года № 384-ФЗ «Технический регламент о безопасности зданий и сооружений»; </w:t>
            </w:r>
            <w:r w:rsidRPr="00A35755">
              <w:rPr>
                <w:rFonts w:ascii="Times New Roman" w:eastAsia="Times New Roman" w:hAnsi="Times New Roman"/>
                <w:bCs/>
                <w:lang w:eastAsia="ru-RU"/>
              </w:rPr>
              <w:t>Законом Санкт-Петербурга от 25 декабря 2015 г. N 891-180 "О благоустройстве в Санкт-Петербурге";ПОСТАНОВЛЕНИЕМ ОТ 9 НОЯБРЯ 2016 ГОДА N 961 О ПРАВИЛАХ БЛАГОУСТРОЙСТВА ТЕРРИТОРИИ САНКТ-ПЕТЕРБУРГА И О ВНЕСЕНИИ ИЗМЕНЕНИЙ В НЕКОТОРЫЕ ПОСТАНОВЛЕНИЯ ПРАВИТЕЛЬСТВА САНКТ-ПЕТЕРБУРГА;</w:t>
            </w:r>
            <w:r w:rsidR="00CB5A8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A35755">
              <w:rPr>
                <w:rFonts w:ascii="Times New Roman" w:eastAsia="Times New Roman" w:hAnsi="Times New Roman"/>
                <w:bCs/>
                <w:lang w:eastAsia="ru-RU"/>
              </w:rPr>
              <w:t>Постановлением Правительства Санкт-Петербурга от 31.01.2017 N 40 "Об утверждении Правил благоустройства территории Санкт-Петербурга в части, касающейся эстетических регламентов объектов благоустройства и элементов благоустройства";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СП 118.13330.2012 «Общественные здания и сооружения»;СП 59.13330.2012 «Доступность зданий и сооружений для маломобильных групп населения»;ГОСТ Р 52875-2007 Указатели тактильные наземные для инвалидов по зрению,</w:t>
            </w:r>
            <w:r w:rsidR="00CB5A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35755">
              <w:rPr>
                <w:rFonts w:ascii="Times New Roman" w:eastAsia="Times New Roman" w:hAnsi="Times New Roman"/>
                <w:lang w:eastAsia="ru-RU"/>
              </w:rPr>
              <w:t>а также другими действующими нормативными документами.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 xml:space="preserve">До начала проектирования выполнить обмерные и обследовательские работы входной группы на предмет  и помещения для размещения универсального санузла доступного для ММГН. 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Результаты обмерных работ и обследования представить в виде обмерных чертежей и отчета по обследованию в объеме необходимом для проектирования ремонта входной группы с устройством пандуса и устройства туалета доступного для всех категорий ММГН (в том числе: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lastRenderedPageBreak/>
              <w:t>пояснительная записка с обмерными чертежами и фотофиксацией фасадов здания и существующего помещения для размещения туалета)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Проект устройства входа для маломобильных групп должен содержать: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- фасад проектируемой входной группы с пандусом согласовать с УЛА КГА Санкт-Петербурга;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-план размещения пандуса  выполнить на материалах топосъемки и согласовать с ОПС КГА Санкт-Петербурга;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b/>
                <w:i/>
                <w:lang w:eastAsia="ru-RU"/>
              </w:rPr>
              <w:t>Архитектурные и конструктивные решения</w:t>
            </w:r>
            <w:r w:rsidRPr="00A35755">
              <w:rPr>
                <w:rFonts w:ascii="Times New Roman" w:eastAsia="Times New Roman" w:hAnsi="Times New Roman"/>
                <w:lang w:eastAsia="ru-RU"/>
              </w:rPr>
              <w:t xml:space="preserve"> (ГОСТ Р 21.501-2011, ГОСТ 21.201-2011):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- общие данные;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- план первого этажа М1:200 с указанием ремонтируемых входов;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- фрагменты планов существующих входов М1:100;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- фрагменты фасадов существующих и проектируемых входных групп;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- конструктивные решения входных групп, в том числе ограждений, лестниц и площадок: схему конструкции, схему армирования, узлы, спецификацию к схеме и ведомость расхода стали на монолитную конструкцию;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- разрезы, узлы, детали, сечения;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- дефектная ведомость (согласовать с Заказчиком);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- состав документации для ограждения выполнить по ГОСТ 21.502-2007 (применительно)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Электроосвещение 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- описание решений по освещению входа;</w:t>
            </w:r>
            <w:r w:rsidRPr="00A35755">
              <w:rPr>
                <w:rFonts w:ascii="Times New Roman" w:eastAsia="Times New Roman" w:hAnsi="Times New Roman"/>
                <w:lang w:eastAsia="ru-RU"/>
              </w:rPr>
              <w:br/>
              <w:t>- электрическая схема, кабельный журнал,  план сетей,  ведомость материалов и изделий – в границах проектирования.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b/>
                <w:i/>
                <w:lang w:eastAsia="ru-RU"/>
              </w:rPr>
              <w:t>Сети связи и сигнализации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- решения по визуальной, тактильной и аудиоинформации</w:t>
            </w:r>
            <w:r w:rsidR="00CB5A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35755">
              <w:rPr>
                <w:rFonts w:ascii="Times New Roman" w:eastAsia="Times New Roman" w:hAnsi="Times New Roman"/>
                <w:lang w:eastAsia="ru-RU"/>
              </w:rPr>
              <w:t>-в границах проектирования.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Проект устройства туалета доступного для всех категорий ММГН  должен содержать: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Архитектурные решения (ГОСТ Р 21.501-2011):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- общие данные;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- планы помещения до и после переустройства с указанием размещаемых элементов оборудования санитарного узла;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- план полов;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- дефектная ведомость (согласовать с заказчиком);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- ведомость отделки;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Инженерные сети (ГОСТ 21.601-2011, ГОСТ 21.608-2014,  ГОСТ 21.607-2013, ГОСТ Р 21.1703-2000, ГОСТ 2.210-2014):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- планы сетей водоснабжения, канализации, электроснабжения, ЭО, сети связи и сигнализации, схемы систем – в границах проектирования.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Раздел ПОС выполнить в составе: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 xml:space="preserve">Проект организации строительства 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- текстовая часть в соответствии с постановлением правительства от 16.02.2008 № 87 (в том числе решения по организации работ в условиях функционирования учреждения);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- стройгенплан;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- календарный план;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lastRenderedPageBreak/>
              <w:t>- ведомость объемов работ.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-ведомость потребности в материалах, изделиях, конструкциях и оборудовании;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Паспорт отходов – определить объем и класс опасности образующихся отходов и порядок их утилизации.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Сметная документация.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Выполнить сводный сметный расчет.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5755" w:rsidRPr="00A35755" w:rsidTr="00093B93"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755" w:rsidRPr="00A35755" w:rsidRDefault="00A35755" w:rsidP="00A35755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Требования к согласованиям</w:t>
            </w:r>
          </w:p>
        </w:tc>
        <w:tc>
          <w:tcPr>
            <w:tcW w:w="3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 xml:space="preserve">Проектировщику согласовать документацию: 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- УЛА КГА Санкт-Петербурга;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- ОПС КГА Санкт-Петербурга;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- УСПХ; СПП «Нарвское»;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 xml:space="preserve">- другие согласования, необходимость в которых может возникнуть в результате проектных решений подрядчика; </w:t>
            </w:r>
          </w:p>
          <w:p w:rsidR="00A35755" w:rsidRPr="00A35755" w:rsidRDefault="00A35755" w:rsidP="00A357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- ГБОУ СОШ № 283</w:t>
            </w:r>
            <w:r w:rsidRPr="00A35755">
              <w:rPr>
                <w:rFonts w:ascii="Times New Roman" w:eastAsia="Times New Roman" w:hAnsi="Times New Roman"/>
                <w:lang w:eastAsia="ru-RU"/>
              </w:rPr>
              <w:br/>
              <w:t>- СПб ГБУ «Служба заказчика администрации Кировского района.</w:t>
            </w:r>
          </w:p>
        </w:tc>
      </w:tr>
      <w:tr w:rsidR="00A35755" w:rsidRPr="00A35755" w:rsidTr="00093B93"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755" w:rsidRPr="00A35755" w:rsidRDefault="00A35755" w:rsidP="00A35755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Основные требования к сметной документации</w:t>
            </w:r>
          </w:p>
        </w:tc>
        <w:tc>
          <w:tcPr>
            <w:tcW w:w="3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1. Раздел «Смета» должен содержать текстовую часть в составе пояснительной записки к сметной документации и сметную документацию. Пояснительная записка к сметной документации должна содержать следующую информацию: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а) сведения о месте расположения объекта;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б) перечень сборников и каталогов сметных нормативов, принятых для составления сметной документации;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в) наименование подрядной организации;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г) обоснование особенностей определения сметной стоимости строительных работ для объекта проектирования;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 xml:space="preserve">д) другие сведения о порядке определения сметной стоимости строительства объекта проектирования, характерные для него. 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 xml:space="preserve">2. Формирование сметной стоимости работ осуществлять в соответствии с «Методикой определения стоимости строительной продукции на территории Российской Федерации» МДС 81-35.2004, на основе территориальных сметных нормативов, введенных в действие распоряжением Комитета по Государственному заказу Санкт-Петербурга от 05.10.2015 № 196-р «Об утверждении территориальных сметных нормативов, предусмотренных для применения на территории Санкт-Петербурга»: ТССЦ 81-01-2001 СПб, ТСЭМ 81-01-2001 СПб, ТЕР 81-02-2001СПб, ТЕРм 81-03-2001СПб, ТЕРр 81-04-2001СПб, ТЕРп 81-05-2001СПб, ТЕРмр 81-06-2001СПб, ТССЦпг 81-01-2001СПб, входящих в состав ТСНБ «ГОСЭТАЛОН 2012» в новой редакции. 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 xml:space="preserve">3. При формировании сметной стоимости работ расчёт выполнять в текущем уровне цен с применением индексов и сведений о текущей стоимости строительных ресурсов, разрабатываемых СПб ГБУ «Центр мониторинга и экспертизы цен».  Стоимость материалов, не учтенных в расценках, принимать в текущем уровне цен в соответствии ТССЦ 81-01-2001 СПб. Стоимость материалов, не вошедших в состав ТССЦ 81-01-2001 СПб определять на основании исходных данных (прайс-листов) не менее пяти организаций-производителей или поставщиков материальных ресурсов. В сметный расчет включается средняя стоимость.  Соответствующие ссылки на номер позиции расчета средней стоимости материальных ресурсов должны быть отображены в сметах. В </w:t>
            </w:r>
            <w:r w:rsidRPr="00A35755">
              <w:rPr>
                <w:rFonts w:ascii="Times New Roman" w:eastAsia="Times New Roman" w:hAnsi="Times New Roman"/>
                <w:lang w:eastAsia="ru-RU"/>
              </w:rPr>
              <w:lastRenderedPageBreak/>
              <w:t>подтверждение принятой цены необходимо приложить не менее 5-ти предложений от разных организаций, с адресом и телефоном поставщика, со ссылкой на источник информации. Стоимостные предложения должны быть оформлены соответствующим образом (заверены подписью и печатью проектной организации со штампом «Копия верна», пронумерованы страницы, проставлены номера позиций в перечне материалов) с указанием даты, стоимости в рублях (с НДС или без НДС, с учетом или без учета стоимости доставки, монтажа, пусконаладочных работ).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>На основании письма Жилищного комитета Правительства Санкт-Петербурга № 02-12-269/14-0-3 от 27.08.2014 г. при применении в проектно-сметной документации стоимости изделий, материалов и оборудования по «цене поставщика» предпочтение отдавать продукции отечественного производства.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- Накладные расходы (МДС 81-33-2004 «Методические указания по определению величины накладных расходов в строительстве», постановление Госстроя России № 6 от 12.01.2004 г.  с учетом положений Письма Госстроя от 27.11.2012 N 2536-ИП/12/ГС)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 xml:space="preserve"> - Сметную прибыль (МДС 81-25-2001 «Методические указания по определению величины сметной прибыли в строительстве», постановление Госстроя России № 15 от 28.02.2001 г., с учетом положений письма Федерального агентства по строительству и жилищно-коммунальному хозяйству от 18.11.2004 № АП-5536/06 и Письма Госстроя от 27.11.2012 N 2536-ИП/12/ГС 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 xml:space="preserve">- Резерв средств на непредвиденные расходы 2%;  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 xml:space="preserve">- НДС - 18 %. 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5755" w:rsidRPr="00A35755" w:rsidTr="00093B93">
        <w:trPr>
          <w:trHeight w:val="349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755" w:rsidRPr="00A35755" w:rsidRDefault="00A35755" w:rsidP="00A35755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lastRenderedPageBreak/>
              <w:t>10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Исходные данные для проектирования</w:t>
            </w:r>
          </w:p>
        </w:tc>
        <w:tc>
          <w:tcPr>
            <w:tcW w:w="3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Копию технического паспорта здания (в том числе планы ПИБ), топосьемку М1:500,  разрешительное письмо КГА Санкт-Петербурга;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-  предоставляет Заказчик.</w:t>
            </w:r>
          </w:p>
        </w:tc>
      </w:tr>
      <w:tr w:rsidR="00A35755" w:rsidRPr="00A35755" w:rsidTr="00093B93">
        <w:trPr>
          <w:trHeight w:val="648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755" w:rsidRPr="00A35755" w:rsidRDefault="00A35755" w:rsidP="00A35755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Сроки проектирования</w:t>
            </w:r>
          </w:p>
        </w:tc>
        <w:tc>
          <w:tcPr>
            <w:tcW w:w="3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60 (шестьдесят) календарных дней.  Срок проектирования включает необходимые согласования.</w:t>
            </w:r>
          </w:p>
        </w:tc>
      </w:tr>
      <w:tr w:rsidR="00A35755" w:rsidRPr="00A35755" w:rsidTr="00093B93"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755" w:rsidRPr="00A35755" w:rsidRDefault="00A35755" w:rsidP="00A35755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>Прочие условия</w:t>
            </w:r>
          </w:p>
        </w:tc>
        <w:tc>
          <w:tcPr>
            <w:tcW w:w="3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 xml:space="preserve">Проектную документацию оформить в соответствии с ГОСТ Р 21.1101-2013. </w:t>
            </w:r>
          </w:p>
          <w:p w:rsidR="00A35755" w:rsidRPr="00A35755" w:rsidRDefault="00A35755" w:rsidP="00A3575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A35755">
              <w:rPr>
                <w:rFonts w:ascii="Times New Roman" w:eastAsia="Times New Roman" w:hAnsi="Times New Roman"/>
                <w:lang w:eastAsia="ru-RU"/>
              </w:rPr>
              <w:t xml:space="preserve">Проектно-сметная документация передается Заказчику в трех экземплярах на бумажном носителе и в одном экземпляре на электронном носителе. </w:t>
            </w:r>
            <w:r w:rsidRPr="00A35755">
              <w:rPr>
                <w:rFonts w:ascii="Times New Roman" w:eastAsia="Times New Roman" w:hAnsi="Times New Roman"/>
                <w:lang w:eastAsia="ru-RU"/>
              </w:rPr>
              <w:br/>
              <w:t>В одном экземпляре на электронном и бумажном носителе – в СПб ГБУ «Служба заказчика администрации Кировского района».</w:t>
            </w:r>
          </w:p>
        </w:tc>
      </w:tr>
    </w:tbl>
    <w:p w:rsidR="00A35755" w:rsidRPr="00A35755" w:rsidRDefault="00A35755" w:rsidP="00A35755">
      <w:pPr>
        <w:spacing w:after="0" w:line="0" w:lineRule="atLeast"/>
        <w:ind w:right="-1"/>
        <w:contextualSpacing/>
        <w:rPr>
          <w:rFonts w:eastAsia="Times New Roman"/>
          <w:lang w:eastAsia="ru-RU"/>
        </w:rPr>
      </w:pPr>
    </w:p>
    <w:p w:rsidR="00A35755" w:rsidRPr="00A35755" w:rsidRDefault="00A35755" w:rsidP="00A35755">
      <w:pPr>
        <w:spacing w:after="0" w:line="0" w:lineRule="atLeast"/>
        <w:ind w:right="-1"/>
        <w:contextualSpacing/>
        <w:rPr>
          <w:rFonts w:eastAsia="Times New Roman"/>
          <w:lang w:eastAsia="ru-RU"/>
        </w:rPr>
      </w:pPr>
    </w:p>
    <w:p w:rsidR="00506D89" w:rsidRPr="00A35755" w:rsidRDefault="00506D89" w:rsidP="00506D89">
      <w:pPr>
        <w:suppressAutoHyphens/>
        <w:spacing w:after="0" w:line="0" w:lineRule="atLeast"/>
        <w:rPr>
          <w:rFonts w:ascii="Times New Roman" w:eastAsia="Times New Roman" w:hAnsi="Times New Roman"/>
          <w:sz w:val="20"/>
          <w:szCs w:val="20"/>
          <w:lang w:eastAsia="zh-CN"/>
        </w:rPr>
      </w:pPr>
      <w:r w:rsidRPr="00506D89">
        <w:rPr>
          <w:rFonts w:ascii="Times New Roman" w:hAnsi="Times New Roman"/>
          <w:b/>
        </w:rPr>
        <w:t>Заказчик:</w:t>
      </w:r>
      <w:r w:rsidRPr="00A35755">
        <w:rPr>
          <w:rFonts w:ascii="Times New Roman" w:eastAsia="Times New Roman" w:hAnsi="Times New Roman"/>
          <w:sz w:val="20"/>
          <w:szCs w:val="20"/>
          <w:lang w:eastAsia="zh-CN"/>
        </w:rPr>
        <w:t xml:space="preserve">Государственное бюджетное общеобразовательное учреждение средняя общеобразовательная </w:t>
      </w:r>
    </w:p>
    <w:p w:rsidR="00506D89" w:rsidRPr="00A35755" w:rsidRDefault="00506D89" w:rsidP="00506D89">
      <w:pPr>
        <w:suppressAutoHyphens/>
        <w:spacing w:after="0" w:line="0" w:lineRule="atLeast"/>
        <w:rPr>
          <w:rFonts w:ascii="Times New Roman" w:eastAsia="Times New Roman" w:hAnsi="Times New Roman"/>
          <w:sz w:val="20"/>
          <w:szCs w:val="20"/>
          <w:lang w:eastAsia="zh-CN"/>
        </w:rPr>
      </w:pPr>
      <w:r w:rsidRPr="00A35755">
        <w:rPr>
          <w:rFonts w:ascii="Times New Roman" w:eastAsia="Times New Roman" w:hAnsi="Times New Roman"/>
          <w:sz w:val="20"/>
          <w:szCs w:val="20"/>
          <w:lang w:eastAsia="zh-CN"/>
        </w:rPr>
        <w:t xml:space="preserve">школа  № 283 Кировского  района Санкт-Петербурга </w:t>
      </w:r>
    </w:p>
    <w:p w:rsidR="00506D89" w:rsidRPr="00A35755" w:rsidRDefault="00506D89" w:rsidP="00506D89">
      <w:pPr>
        <w:spacing w:after="0" w:line="0" w:lineRule="atLeas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35755">
        <w:rPr>
          <w:rFonts w:ascii="Times New Roman" w:hAnsi="Times New Roman"/>
          <w:bCs/>
          <w:i/>
          <w:sz w:val="20"/>
          <w:szCs w:val="20"/>
          <w:lang w:eastAsia="ru-RU"/>
        </w:rPr>
        <w:t>Подписано ЭЦП</w:t>
      </w:r>
    </w:p>
    <w:p w:rsidR="00506D89" w:rsidRPr="00506D89" w:rsidRDefault="00506D89" w:rsidP="00506D8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0"/>
          <w:szCs w:val="20"/>
          <w:lang w:eastAsia="ru-RU"/>
        </w:rPr>
      </w:pPr>
      <w:r w:rsidRPr="00506D89">
        <w:rPr>
          <w:rFonts w:ascii="Times New Roman" w:hAnsi="Times New Roman"/>
          <w:b/>
          <w:sz w:val="20"/>
          <w:szCs w:val="20"/>
        </w:rPr>
        <w:t>Проектировщик:</w:t>
      </w:r>
      <w:r w:rsidRPr="00506D89">
        <w:rPr>
          <w:rFonts w:ascii="Times New Roman" w:hAnsi="Times New Roman"/>
          <w:sz w:val="20"/>
          <w:szCs w:val="20"/>
          <w:lang w:eastAsia="ru-RU"/>
        </w:rPr>
        <w:t xml:space="preserve">Общество с ограниченной ответственностью </w:t>
      </w:r>
      <w:r w:rsidRPr="00506D89">
        <w:rPr>
          <w:rFonts w:ascii="Times New Roman" w:hAnsi="Times New Roman"/>
          <w:sz w:val="20"/>
          <w:szCs w:val="20"/>
        </w:rPr>
        <w:t>«СтройЭксперт»</w:t>
      </w:r>
    </w:p>
    <w:p w:rsidR="00506D89" w:rsidRPr="00A35755" w:rsidRDefault="00506D89" w:rsidP="00506D89">
      <w:pPr>
        <w:spacing w:after="0" w:line="0" w:lineRule="atLeast"/>
        <w:rPr>
          <w:rFonts w:ascii="Times New Roman" w:hAnsi="Times New Roman"/>
          <w:bCs/>
          <w:sz w:val="20"/>
          <w:szCs w:val="20"/>
          <w:lang w:eastAsia="ru-RU"/>
        </w:rPr>
      </w:pPr>
      <w:r w:rsidRPr="00506D89">
        <w:rPr>
          <w:rFonts w:ascii="Times New Roman" w:hAnsi="Times New Roman"/>
          <w:bCs/>
          <w:sz w:val="20"/>
          <w:szCs w:val="20"/>
          <w:lang w:eastAsia="ru-RU"/>
        </w:rPr>
        <w:t>Д</w:t>
      </w:r>
      <w:r w:rsidRPr="00A35755">
        <w:rPr>
          <w:rFonts w:ascii="Times New Roman" w:hAnsi="Times New Roman"/>
          <w:bCs/>
          <w:sz w:val="20"/>
          <w:szCs w:val="20"/>
          <w:lang w:eastAsia="ru-RU"/>
        </w:rPr>
        <w:t xml:space="preserve">иректор _________ </w:t>
      </w:r>
      <w:r w:rsidRPr="00506D89">
        <w:rPr>
          <w:rFonts w:ascii="Times New Roman" w:hAnsi="Times New Roman"/>
          <w:sz w:val="20"/>
          <w:szCs w:val="20"/>
        </w:rPr>
        <w:t>Рахматулина Е. З.</w:t>
      </w:r>
    </w:p>
    <w:p w:rsidR="00506D89" w:rsidRPr="00A35755" w:rsidRDefault="00506D89" w:rsidP="00506D89">
      <w:pPr>
        <w:spacing w:after="0" w:line="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35755">
        <w:rPr>
          <w:rFonts w:ascii="Times New Roman" w:hAnsi="Times New Roman"/>
          <w:bCs/>
          <w:i/>
          <w:sz w:val="20"/>
          <w:szCs w:val="20"/>
          <w:lang w:eastAsia="ru-RU"/>
        </w:rPr>
        <w:t>Подписано ЭЦП</w:t>
      </w:r>
    </w:p>
    <w:p w:rsidR="00A35755" w:rsidRPr="00A35755" w:rsidRDefault="00A35755" w:rsidP="00A35755">
      <w:pPr>
        <w:spacing w:after="0" w:line="0" w:lineRule="atLeast"/>
        <w:rPr>
          <w:rFonts w:ascii="Times New Roman" w:eastAsia="Times New Roman" w:hAnsi="Times New Roman"/>
          <w:b/>
          <w:lang w:eastAsia="ru-RU"/>
        </w:rPr>
      </w:pPr>
      <w:r w:rsidRPr="00A35755">
        <w:rPr>
          <w:rFonts w:ascii="Times New Roman" w:eastAsia="Times New Roman" w:hAnsi="Times New Roman"/>
          <w:lang w:eastAsia="ru-RU"/>
        </w:rPr>
        <w:t>.</w:t>
      </w:r>
    </w:p>
    <w:p w:rsidR="00A35755" w:rsidRPr="00A35755" w:rsidRDefault="00A35755" w:rsidP="00A35755">
      <w:pPr>
        <w:spacing w:after="0" w:line="0" w:lineRule="atLeast"/>
        <w:rPr>
          <w:rFonts w:ascii="Times New Roman" w:eastAsia="Times New Roman" w:hAnsi="Times New Roman"/>
          <w:b/>
          <w:lang w:eastAsia="ru-RU"/>
        </w:rPr>
      </w:pPr>
    </w:p>
    <w:p w:rsidR="00A35755" w:rsidRPr="00A35755" w:rsidRDefault="00A35755" w:rsidP="00A35755">
      <w:pPr>
        <w:spacing w:after="0" w:line="0" w:lineRule="atLeast"/>
        <w:rPr>
          <w:rFonts w:ascii="Times New Roman" w:eastAsia="Times New Roman" w:hAnsi="Times New Roman"/>
          <w:b/>
          <w:lang w:eastAsia="ru-RU"/>
        </w:rPr>
      </w:pPr>
    </w:p>
    <w:p w:rsidR="00A35755" w:rsidRPr="00A35755" w:rsidRDefault="00A35755" w:rsidP="00A35755">
      <w:pPr>
        <w:spacing w:after="0" w:line="0" w:lineRule="atLeast"/>
        <w:rPr>
          <w:rFonts w:ascii="Times New Roman" w:eastAsia="Times New Roman" w:hAnsi="Times New Roman"/>
          <w:b/>
          <w:lang w:eastAsia="ru-RU"/>
        </w:rPr>
      </w:pPr>
    </w:p>
    <w:p w:rsidR="00A35755" w:rsidRDefault="00A35755" w:rsidP="002C634E">
      <w:pPr>
        <w:spacing w:after="0"/>
        <w:jc w:val="center"/>
        <w:rPr>
          <w:rFonts w:ascii="Times New Roman" w:hAnsi="Times New Roman"/>
        </w:rPr>
      </w:pPr>
    </w:p>
    <w:p w:rsidR="00A35755" w:rsidRDefault="00A35755" w:rsidP="002C634E">
      <w:pPr>
        <w:spacing w:after="0"/>
        <w:jc w:val="center"/>
        <w:rPr>
          <w:rFonts w:ascii="Times New Roman" w:hAnsi="Times New Roman"/>
        </w:rPr>
      </w:pPr>
    </w:p>
    <w:sectPr w:rsidR="00A35755" w:rsidSect="00662306">
      <w:footnotePr>
        <w:numFmt w:val="chicago"/>
        <w:numRestart w:val="eachPage"/>
      </w:footnotePr>
      <w:pgSz w:w="11906" w:h="16838"/>
      <w:pgMar w:top="993" w:right="851" w:bottom="851" w:left="993" w:header="397" w:footer="39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663" w:rsidRDefault="00462663" w:rsidP="002C634E">
      <w:pPr>
        <w:spacing w:after="0" w:line="240" w:lineRule="auto"/>
      </w:pPr>
      <w:r>
        <w:separator/>
      </w:r>
    </w:p>
  </w:endnote>
  <w:endnote w:type="continuationSeparator" w:id="1">
    <w:p w:rsidR="00462663" w:rsidRDefault="00462663" w:rsidP="002C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663" w:rsidRDefault="00462663" w:rsidP="002C634E">
      <w:pPr>
        <w:spacing w:after="0" w:line="240" w:lineRule="auto"/>
      </w:pPr>
      <w:r>
        <w:separator/>
      </w:r>
    </w:p>
  </w:footnote>
  <w:footnote w:type="continuationSeparator" w:id="1">
    <w:p w:rsidR="00462663" w:rsidRDefault="00462663" w:rsidP="002C6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37066A8"/>
    <w:multiLevelType w:val="singleLevel"/>
    <w:tmpl w:val="5BF41264"/>
    <w:lvl w:ilvl="0">
      <w:start w:val="1"/>
      <w:numFmt w:val="decimal"/>
      <w:lvlText w:val="8.%1."/>
      <w:lvlJc w:val="left"/>
      <w:pPr>
        <w:tabs>
          <w:tab w:val="num" w:pos="-27"/>
        </w:tabs>
        <w:ind w:left="-27" w:firstLine="878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2">
    <w:nsid w:val="327148DC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1116"/>
        </w:tabs>
        <w:ind w:left="111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404"/>
        </w:tabs>
        <w:ind w:left="140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548"/>
        </w:tabs>
        <w:ind w:left="154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692"/>
        </w:tabs>
        <w:ind w:left="169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836"/>
        </w:tabs>
        <w:ind w:left="183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980"/>
        </w:tabs>
        <w:ind w:left="198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124"/>
        </w:tabs>
        <w:ind w:left="2124" w:hanging="1584"/>
      </w:pPr>
      <w:rPr>
        <w:rFonts w:cs="Times New Roman"/>
      </w:rPr>
    </w:lvl>
  </w:abstractNum>
  <w:abstractNum w:abstractNumId="3">
    <w:nsid w:val="71F34957"/>
    <w:multiLevelType w:val="hybridMultilevel"/>
    <w:tmpl w:val="97FAE2A4"/>
    <w:lvl w:ilvl="0" w:tplc="14C4112E">
      <w:start w:val="1"/>
      <w:numFmt w:val="bullet"/>
      <w:lvlText w:val=""/>
      <w:lvlJc w:val="left"/>
      <w:pPr>
        <w:tabs>
          <w:tab w:val="num" w:pos="1903"/>
        </w:tabs>
        <w:ind w:left="769" w:firstLine="851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209"/>
        </w:tabs>
        <w:ind w:left="220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929"/>
        </w:tabs>
        <w:ind w:left="292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49"/>
        </w:tabs>
        <w:ind w:left="364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69"/>
        </w:tabs>
        <w:ind w:left="436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89"/>
        </w:tabs>
        <w:ind w:left="508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809"/>
        </w:tabs>
        <w:ind w:left="580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529"/>
        </w:tabs>
        <w:ind w:left="652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49"/>
        </w:tabs>
        <w:ind w:left="72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412FB6"/>
    <w:rsid w:val="00117BF0"/>
    <w:rsid w:val="002C634E"/>
    <w:rsid w:val="00362FA9"/>
    <w:rsid w:val="003F1029"/>
    <w:rsid w:val="00412FB6"/>
    <w:rsid w:val="0043132A"/>
    <w:rsid w:val="00462663"/>
    <w:rsid w:val="00506D89"/>
    <w:rsid w:val="005D5421"/>
    <w:rsid w:val="00662306"/>
    <w:rsid w:val="007505D1"/>
    <w:rsid w:val="00755429"/>
    <w:rsid w:val="008C2B5B"/>
    <w:rsid w:val="00A35755"/>
    <w:rsid w:val="00A54759"/>
    <w:rsid w:val="00CB5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Знак21 Знак,Знак4 Знак Знак,Char Знак, Знак4 Знак Знак,Знак3 Знак Знак, Знак4 Знак1, Char Знак,Знак3 Знак1"/>
    <w:link w:val="a4"/>
    <w:uiPriority w:val="99"/>
    <w:locked/>
    <w:rsid w:val="002C63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aliases w:val="Знак21,Знак4 Знак,Char, Знак4 Знак,Знак3 Знак, Знак4, Char,Знак3"/>
    <w:basedOn w:val="a"/>
    <w:link w:val="a3"/>
    <w:uiPriority w:val="99"/>
    <w:unhideWhenUsed/>
    <w:qFormat/>
    <w:rsid w:val="002C634E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2C634E"/>
    <w:rPr>
      <w:rFonts w:ascii="Calibri" w:eastAsia="Calibri" w:hAnsi="Calibri" w:cs="Times New Roman"/>
      <w:sz w:val="20"/>
      <w:szCs w:val="20"/>
    </w:rPr>
  </w:style>
  <w:style w:type="character" w:customStyle="1" w:styleId="2">
    <w:name w:val="Основной текст 2 Знак"/>
    <w:link w:val="20"/>
    <w:locked/>
    <w:rsid w:val="002C6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nhideWhenUsed/>
    <w:rsid w:val="002C634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2C634E"/>
    <w:rPr>
      <w:rFonts w:ascii="Calibri" w:eastAsia="Calibri" w:hAnsi="Calibri" w:cs="Times New Roman"/>
    </w:rPr>
  </w:style>
  <w:style w:type="character" w:customStyle="1" w:styleId="ConsNormal">
    <w:name w:val="ConsNormal Знак"/>
    <w:link w:val="ConsNormal0"/>
    <w:uiPriority w:val="99"/>
    <w:locked/>
    <w:rsid w:val="002C634E"/>
    <w:rPr>
      <w:rFonts w:ascii="Arial" w:eastAsia="Times New Roman" w:hAnsi="Arial" w:cs="Arial"/>
      <w:lang w:eastAsia="ru-RU"/>
    </w:rPr>
  </w:style>
  <w:style w:type="paragraph" w:customStyle="1" w:styleId="ConsNormal0">
    <w:name w:val="ConsNormal"/>
    <w:link w:val="ConsNormal"/>
    <w:uiPriority w:val="99"/>
    <w:qFormat/>
    <w:rsid w:val="002C634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uiPriority w:val="99"/>
    <w:qFormat/>
    <w:rsid w:val="002C63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2C63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2C634E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link w:val="a7"/>
    <w:uiPriority w:val="99"/>
    <w:qFormat/>
    <w:rsid w:val="002C63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8">
    <w:name w:val="No Spacing"/>
    <w:link w:val="a9"/>
    <w:uiPriority w:val="99"/>
    <w:qFormat/>
    <w:rsid w:val="002C63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2C634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locked/>
    <w:rsid w:val="002C634E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2C634E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2C63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ru-RU" w:bidi="hi-IN"/>
    </w:rPr>
  </w:style>
  <w:style w:type="paragraph" w:styleId="aa">
    <w:name w:val="footer"/>
    <w:basedOn w:val="a"/>
    <w:link w:val="ab"/>
    <w:uiPriority w:val="99"/>
    <w:semiHidden/>
    <w:unhideWhenUsed/>
    <w:rsid w:val="00A35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575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6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23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№283</Company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Александровна</dc:creator>
  <cp:lastModifiedBy>Хатуна</cp:lastModifiedBy>
  <cp:revision>3</cp:revision>
  <dcterms:created xsi:type="dcterms:W3CDTF">2017-09-12T06:22:00Z</dcterms:created>
  <dcterms:modified xsi:type="dcterms:W3CDTF">2017-10-23T21:41:00Z</dcterms:modified>
</cp:coreProperties>
</file>