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41" w:rsidRDefault="0085095F" w:rsidP="00721A4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721A41" w:rsidRPr="00226B9B" w:rsidRDefault="00721A41" w:rsidP="00721A41">
      <w:pPr>
        <w:rPr>
          <w:rFonts w:ascii="Cambria" w:hAnsi="Cambria"/>
          <w:b/>
          <w:sz w:val="20"/>
          <w:szCs w:val="20"/>
        </w:rPr>
      </w:pPr>
    </w:p>
    <w:p w:rsidR="00721A41" w:rsidRPr="00FA4A49" w:rsidRDefault="00721A41" w:rsidP="00721A41">
      <w:pPr>
        <w:autoSpaceDE w:val="0"/>
        <w:rPr>
          <w:b/>
          <w:u w:val="single"/>
        </w:rPr>
      </w:pPr>
      <w:r w:rsidRPr="00FA4A49">
        <w:rPr>
          <w:b/>
          <w:u w:val="single"/>
        </w:rPr>
        <w:t>Объект – 1</w:t>
      </w:r>
    </w:p>
    <w:p w:rsidR="00721A41" w:rsidRPr="00FA4A49" w:rsidRDefault="00721A41" w:rsidP="00721A41">
      <w:pPr>
        <w:autoSpaceDE w:val="0"/>
        <w:rPr>
          <w:u w:val="single"/>
        </w:rPr>
      </w:pPr>
    </w:p>
    <w:p w:rsidR="00721A41" w:rsidRPr="00FA4A49" w:rsidRDefault="00721A41" w:rsidP="00721A41">
      <w:pPr>
        <w:pStyle w:val="western"/>
        <w:tabs>
          <w:tab w:val="num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A4A49">
        <w:rPr>
          <w:rFonts w:ascii="Times New Roman" w:hAnsi="Times New Roman" w:cs="Times New Roman"/>
          <w:sz w:val="24"/>
          <w:szCs w:val="24"/>
        </w:rPr>
        <w:t>Общее описание объекта: Здание автовокзала.</w:t>
      </w:r>
      <w:r>
        <w:rPr>
          <w:rFonts w:ascii="Times New Roman" w:hAnsi="Times New Roman" w:cs="Times New Roman"/>
          <w:sz w:val="24"/>
          <w:szCs w:val="24"/>
        </w:rPr>
        <w:t>, 3 этажное.</w:t>
      </w:r>
    </w:p>
    <w:p w:rsidR="00721A41" w:rsidRDefault="00721A41" w:rsidP="00721A41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</w:pPr>
      <w:r w:rsidRPr="00FA4A49">
        <w:t xml:space="preserve">Наименование и характеристики работ: разработка проектно-сметной документации по переоборудованию автовокзала «Центральный» </w:t>
      </w:r>
      <w:r w:rsidRPr="00FA4A49">
        <w:br/>
        <w:t>в рамках реализации государственной программы «Доступная среда» на 2016–2018 годы.</w:t>
      </w:r>
    </w:p>
    <w:p w:rsidR="00721A41" w:rsidRPr="00FA4A49" w:rsidRDefault="00721A41" w:rsidP="00721A41">
      <w:pPr>
        <w:jc w:val="both"/>
      </w:pPr>
    </w:p>
    <w:p w:rsidR="00721A41" w:rsidRPr="00FA4A49" w:rsidRDefault="00721A41" w:rsidP="00721A41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</w:pPr>
      <w:r w:rsidRPr="00FA4A49">
        <w:t xml:space="preserve">Назначение и цель проектно-сметной документации: проведение комплекса мероприятий по дооборудованию, адаптации автовокзала «Центральный» для обеспечения беспрепятственного доступа инвалидов и других </w:t>
      </w:r>
      <w:proofErr w:type="spellStart"/>
      <w:r w:rsidRPr="00FA4A49">
        <w:t>маломобильных</w:t>
      </w:r>
      <w:proofErr w:type="spellEnd"/>
      <w:r w:rsidRPr="00FA4A49">
        <w:t xml:space="preserve"> групп населения независимо от места проживания к объектам транспортной инфраструктуры, удовлетворении потребностей в услугах автомобильного транспорта общего пользования.</w:t>
      </w:r>
    </w:p>
    <w:p w:rsidR="00721A41" w:rsidRPr="00FA4A49" w:rsidRDefault="00721A41" w:rsidP="00721A41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</w:pPr>
      <w:r w:rsidRPr="00FA4A49">
        <w:t>Реализация указанной цели предполагает решение задач, определенных в задании и включает в себя следующие базовые мероприятия:</w:t>
      </w:r>
    </w:p>
    <w:p w:rsidR="00721A41" w:rsidRPr="00FA4A49" w:rsidRDefault="00721A41" w:rsidP="00721A41">
      <w:pPr>
        <w:jc w:val="right"/>
        <w:rPr>
          <w:b/>
          <w:bCs/>
          <w:color w:val="000000"/>
        </w:rPr>
      </w:pPr>
    </w:p>
    <w:p w:rsidR="00721A41" w:rsidRPr="00FA4A49" w:rsidRDefault="00721A41" w:rsidP="00721A41">
      <w:pPr>
        <w:jc w:val="right"/>
        <w:rPr>
          <w:b/>
          <w:bCs/>
          <w:color w:val="000000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4395"/>
        <w:gridCol w:w="6379"/>
      </w:tblGrid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Основание для проектирования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721A41">
            <w:pPr>
              <w:jc w:val="both"/>
            </w:pPr>
            <w:r w:rsidRPr="00FA4A49">
              <w:rPr>
                <w:rFonts w:eastAsia="SimSun"/>
              </w:rPr>
              <w:t>Государственная программа «Доступная среда» на 2016-2018 годы.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Вид строительства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rPr>
                <w:rFonts w:eastAsia="SimSun"/>
              </w:rPr>
              <w:t>Капитальный ремонт</w:t>
            </w:r>
          </w:p>
        </w:tc>
      </w:tr>
      <w:tr w:rsidR="00721A41" w:rsidRPr="00FA4A49" w:rsidTr="0053674B">
        <w:trPr>
          <w:trHeight w:val="1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Стадийность проектирования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rPr>
                <w:rFonts w:eastAsia="SimSun"/>
              </w:rPr>
              <w:t>Проектная документация, одно стадийное.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Основные нормативные документы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rPr>
                <w:rFonts w:eastAsia="SimSun"/>
              </w:rPr>
              <w:t>Проектирование вести с учетом требований действующих норм и правил РФ.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Исходно-разрешительная документация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721A41">
            <w:pPr>
              <w:numPr>
                <w:ilvl w:val="0"/>
                <w:numId w:val="2"/>
              </w:numPr>
              <w:tabs>
                <w:tab w:val="left" w:pos="0"/>
                <w:tab w:val="left" w:pos="292"/>
              </w:tabs>
              <w:ind w:left="0" w:firstLine="0"/>
              <w:rPr>
                <w:rFonts w:eastAsia="SimSun"/>
              </w:rPr>
            </w:pPr>
            <w:r w:rsidRPr="00FA4A49">
              <w:rPr>
                <w:rFonts w:eastAsia="SimSun"/>
              </w:rPr>
              <w:t>Копия технического паспорта здания.</w:t>
            </w:r>
          </w:p>
          <w:p w:rsidR="00721A41" w:rsidRPr="00FA4A49" w:rsidRDefault="00721A41" w:rsidP="00721A41">
            <w:pPr>
              <w:numPr>
                <w:ilvl w:val="0"/>
                <w:numId w:val="2"/>
              </w:numPr>
              <w:tabs>
                <w:tab w:val="left" w:pos="0"/>
                <w:tab w:val="left" w:pos="292"/>
              </w:tabs>
              <w:ind w:left="0" w:firstLine="0"/>
            </w:pPr>
            <w:r w:rsidRPr="00FA4A49">
              <w:rPr>
                <w:rFonts w:eastAsia="SimSun"/>
              </w:rPr>
              <w:t>Съемка участка М1:2000.</w:t>
            </w:r>
          </w:p>
          <w:p w:rsidR="00721A41" w:rsidRPr="00FA4A49" w:rsidRDefault="00721A41" w:rsidP="00721A41">
            <w:pPr>
              <w:numPr>
                <w:ilvl w:val="0"/>
                <w:numId w:val="2"/>
              </w:numPr>
              <w:tabs>
                <w:tab w:val="left" w:pos="0"/>
                <w:tab w:val="left" w:pos="292"/>
              </w:tabs>
              <w:ind w:left="0" w:firstLine="0"/>
            </w:pPr>
            <w:r w:rsidRPr="00FA4A49">
              <w:rPr>
                <w:rFonts w:eastAsia="SimSun"/>
              </w:rPr>
              <w:t>Поэтажный план, паспорт доступности объекта.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Состав и содержание проектной документации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721A41">
            <w:pPr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eastAsia="SimSun"/>
              </w:rPr>
            </w:pPr>
            <w:r w:rsidRPr="00FA4A49">
              <w:t>Проектная и рабочая документация  должна включать проектные отделы в соответствии с постановлением РФ № 87,  включая сметную документацию, в объемах необходимых для проведения государственной экспертизы проектной документации.</w:t>
            </w:r>
          </w:p>
          <w:p w:rsidR="00721A41" w:rsidRPr="00FA4A49" w:rsidRDefault="00721A41" w:rsidP="00721A41">
            <w:pPr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eastAsia="SimSun"/>
              </w:rPr>
            </w:pPr>
            <w:r w:rsidRPr="00FA4A49">
              <w:rPr>
                <w:rFonts w:eastAsia="SimSun"/>
              </w:rPr>
              <w:t>Акт технического обследования здания (визуальное обследование).</w:t>
            </w:r>
          </w:p>
          <w:p w:rsidR="00721A41" w:rsidRPr="00FA4A49" w:rsidRDefault="00721A41" w:rsidP="00721A41">
            <w:pPr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eastAsia="SimSun"/>
              </w:rPr>
            </w:pPr>
            <w:proofErr w:type="spellStart"/>
            <w:r w:rsidRPr="00FA4A49">
              <w:rPr>
                <w:rFonts w:eastAsia="SimSun"/>
              </w:rPr>
              <w:t>Обмерочные</w:t>
            </w:r>
            <w:proofErr w:type="spellEnd"/>
            <w:r w:rsidRPr="00FA4A49">
              <w:rPr>
                <w:rFonts w:eastAsia="SimSun"/>
              </w:rPr>
              <w:t xml:space="preserve"> чертежи.</w:t>
            </w:r>
          </w:p>
          <w:p w:rsidR="00721A41" w:rsidRPr="00FA4A49" w:rsidRDefault="00721A41" w:rsidP="00721A41">
            <w:pPr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eastAsia="SimSun"/>
              </w:rPr>
            </w:pPr>
            <w:r w:rsidRPr="00FA4A49">
              <w:rPr>
                <w:rFonts w:eastAsia="SimSun"/>
              </w:rPr>
              <w:t xml:space="preserve">Рабочий проект, разделы: 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пояснительная записка;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схема планировочной организации земельного участка;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 архитектурные решения;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при необходимости монтажа дополнительных устройств (лифт, платформа), согласование паспорта фасада с архитектурным надзором;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конструктивные решения;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мероприятия по организации доступа инвалидов;</w:t>
            </w:r>
          </w:p>
          <w:p w:rsidR="00721A41" w:rsidRPr="00FA4A49" w:rsidRDefault="00721A41" w:rsidP="0053674B">
            <w:pPr>
              <w:tabs>
                <w:tab w:val="left" w:pos="292"/>
              </w:tabs>
              <w:rPr>
                <w:rFonts w:eastAsia="SimSun"/>
              </w:rPr>
            </w:pPr>
            <w:r w:rsidRPr="00FA4A49">
              <w:rPr>
                <w:rFonts w:eastAsia="SimSun"/>
              </w:rPr>
              <w:t>- сети связи (оповещение),</w:t>
            </w:r>
          </w:p>
          <w:p w:rsidR="00721A41" w:rsidRPr="00FA4A49" w:rsidRDefault="00721A41" w:rsidP="0053674B">
            <w:pPr>
              <w:tabs>
                <w:tab w:val="left" w:pos="292"/>
              </w:tabs>
            </w:pPr>
            <w:r w:rsidRPr="00FA4A49">
              <w:rPr>
                <w:rFonts w:eastAsia="SimSun"/>
              </w:rPr>
              <w:t>- сметная документация.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Вид и состав работ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  <w:rPr>
                <w:rFonts w:eastAsia="SimSun"/>
              </w:rPr>
            </w:pPr>
            <w:r w:rsidRPr="00FA4A49">
              <w:rPr>
                <w:rFonts w:eastAsia="SimSun"/>
              </w:rPr>
              <w:t xml:space="preserve">Устройство пандусов на входе в автовокзал с уклоном 1:12 - 1:20. 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</w:pPr>
            <w:r w:rsidRPr="00FA4A49">
              <w:rPr>
                <w:rFonts w:eastAsia="SimSun"/>
              </w:rPr>
              <w:t xml:space="preserve">При необходимости, обеспечить посадку </w:t>
            </w:r>
            <w:proofErr w:type="spellStart"/>
            <w:r w:rsidRPr="00FA4A49">
              <w:rPr>
                <w:rFonts w:eastAsia="SimSun"/>
              </w:rPr>
              <w:t>маломобильных</w:t>
            </w:r>
            <w:proofErr w:type="spellEnd"/>
            <w:r w:rsidRPr="00FA4A49">
              <w:rPr>
                <w:rFonts w:eastAsia="SimSun"/>
              </w:rPr>
              <w:t xml:space="preserve"> групп населения (далее МГН) на автобус с использованием стационарного или передвижного </w:t>
            </w:r>
            <w:r w:rsidRPr="00FA4A49">
              <w:rPr>
                <w:rFonts w:eastAsia="SimSun"/>
              </w:rPr>
              <w:lastRenderedPageBreak/>
              <w:t>подъемника.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  <w:rPr>
                <w:rFonts w:eastAsia="SimSun"/>
              </w:rPr>
            </w:pPr>
            <w:r w:rsidRPr="00FA4A49">
              <w:t>Расширение и замена дверных полотен – проем в свету 1,2 м. Организовать один вход с улицы и один выход к стоянке автобусов.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  <w:rPr>
                <w:rFonts w:eastAsia="SimSun"/>
              </w:rPr>
            </w:pPr>
            <w:r w:rsidRPr="00FA4A49">
              <w:rPr>
                <w:rFonts w:eastAsia="SimSun"/>
              </w:rPr>
              <w:t xml:space="preserve">Двери предусмотреть с </w:t>
            </w:r>
            <w:proofErr w:type="spellStart"/>
            <w:r w:rsidRPr="00FA4A49">
              <w:rPr>
                <w:rFonts w:eastAsia="SimSun"/>
              </w:rPr>
              <w:t>ударопрочной</w:t>
            </w:r>
            <w:proofErr w:type="spellEnd"/>
            <w:r w:rsidRPr="00FA4A49">
              <w:rPr>
                <w:rFonts w:eastAsia="SimSun"/>
              </w:rPr>
              <w:t xml:space="preserve"> полосой на высоту 0,3м, с остеклением на уровне 0,3-0,8м от пола.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  <w:rPr>
                <w:rFonts w:eastAsia="SimSun"/>
              </w:rPr>
            </w:pPr>
            <w:r w:rsidRPr="00FA4A49">
              <w:rPr>
                <w:rFonts w:eastAsia="SimSun"/>
              </w:rPr>
              <w:t xml:space="preserve">На перепаде внутри здания – пандус с уклоном 8% с поручнями с 2-х сторон </w:t>
            </w:r>
            <w:r w:rsidRPr="00FA4A49">
              <w:t>по ГОСТ Р 51261</w:t>
            </w:r>
            <w:r w:rsidRPr="00FA4A49">
              <w:rPr>
                <w:rFonts w:eastAsia="SimSun"/>
              </w:rPr>
              <w:t xml:space="preserve">.                                                                   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  <w:rPr>
                <w:rFonts w:eastAsia="SimSun"/>
              </w:rPr>
            </w:pPr>
            <w:r w:rsidRPr="00FA4A49">
              <w:rPr>
                <w:rFonts w:eastAsia="SimSun"/>
              </w:rPr>
              <w:t>Приспособление одного кассового окна для использования МГН на высоте не более 0,85 м., с кнопкой вызова кассира и переговорным устройством.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292"/>
              </w:tabs>
              <w:ind w:left="0" w:firstLine="0"/>
              <w:jc w:val="both"/>
              <w:rPr>
                <w:rFonts w:eastAsia="SimSun"/>
              </w:rPr>
            </w:pPr>
            <w:r w:rsidRPr="00FA4A49">
              <w:rPr>
                <w:rFonts w:eastAsia="SimSun"/>
              </w:rPr>
              <w:t>Оборудовать санузел системой оповещения, кнопкой экстренного вызова сотрудника.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434"/>
              </w:tabs>
              <w:ind w:left="0" w:firstLine="0"/>
              <w:jc w:val="both"/>
            </w:pPr>
            <w:r w:rsidRPr="00FA4A49">
              <w:rPr>
                <w:rFonts w:eastAsia="SimSun"/>
              </w:rPr>
              <w:t>Обеспечить доступ для МГН в помещения администрации автовокзала - кнопка вызова сотрудника, переговорное устройство.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434"/>
              </w:tabs>
              <w:ind w:left="0" w:firstLine="0"/>
              <w:jc w:val="both"/>
            </w:pPr>
            <w:r w:rsidRPr="00FA4A49">
              <w:rPr>
                <w:rFonts w:eastAsia="SimSun"/>
              </w:rPr>
              <w:t xml:space="preserve">Установка информирующих обозначений помещений, схемы передвижения по маршруту, дублирование информации для различных МГН (шрифтом Брайля, тактильная плитка и др.) </w:t>
            </w:r>
          </w:p>
          <w:p w:rsidR="00721A41" w:rsidRPr="00FA4A49" w:rsidRDefault="00721A41" w:rsidP="00721A41">
            <w:pPr>
              <w:numPr>
                <w:ilvl w:val="0"/>
                <w:numId w:val="3"/>
              </w:numPr>
              <w:tabs>
                <w:tab w:val="left" w:pos="434"/>
              </w:tabs>
              <w:ind w:left="0" w:firstLine="0"/>
              <w:jc w:val="both"/>
            </w:pPr>
            <w:r w:rsidRPr="00FA4A49">
              <w:t>Организация системы оповещения в экстренных случаях и пути эвакуации.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lastRenderedPageBreak/>
              <w:t>Исходные данные об особых условиях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rPr>
                <w:rFonts w:eastAsia="SimSun"/>
              </w:rPr>
              <w:t>Капитальный ремонт проводится во время работы автостанции.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Назначение сооружения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rPr>
                <w:rFonts w:eastAsia="SimSun"/>
              </w:rPr>
              <w:t>Повышение уровня доступности МГН.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t>Требования по составу и содержанию проектной и рабочей документации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t>Проектная и рабочая документация  должна включать проектные отделы в соответствии с постановлением РФ № 87 от 16. 02.2008 г., включая сметную документацию, в объемах необходимых для проведения государственной экспертизы проектной документации.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t xml:space="preserve">Разработка инженерно-технических мероприятий гражданской обороны, мероприятия по предупреждению чрезвычайных ситуаций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t>В составе проекта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t>Основные требования к сметной документации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t xml:space="preserve">- метод расчета – </w:t>
            </w:r>
            <w:proofErr w:type="spellStart"/>
            <w:r w:rsidRPr="00FA4A49">
              <w:t>Базисно-индексный</w:t>
            </w:r>
            <w:proofErr w:type="spellEnd"/>
            <w:r w:rsidRPr="00FA4A49">
              <w:t>;</w:t>
            </w:r>
          </w:p>
          <w:p w:rsidR="00721A41" w:rsidRPr="00FA4A49" w:rsidRDefault="00721A41" w:rsidP="0053674B">
            <w:r w:rsidRPr="00FA4A49">
              <w:t>- применяемые индексы – пересчет в текущие цены выполнить с применением индексов пересчета, действующих на момент выполнения работ в регионе.</w:t>
            </w:r>
          </w:p>
          <w:p w:rsidR="00721A41" w:rsidRPr="00FA4A49" w:rsidRDefault="00721A41" w:rsidP="0053674B">
            <w:r w:rsidRPr="00FA4A49">
              <w:t>- применение коэффициента k=1,2 учитывающего условия выполнения ремонтно-строительных работ в существующих зданиях, освобожденных от оборудования (МДС 81-38.2004, Приложение 3 п.1)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Требования к количеству экземпляров документации, выдаваемой заказчику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r w:rsidRPr="00FA4A49">
              <w:t>Выполненная проектно-сметная документация передается Заказчику в 4-х экземплярах на бумажном носителе, укомплектованных в папки, и по одному экземпляру в форматах «</w:t>
            </w:r>
            <w:proofErr w:type="spellStart"/>
            <w:r w:rsidRPr="00FA4A49">
              <w:t>dwg</w:t>
            </w:r>
            <w:proofErr w:type="spellEnd"/>
            <w:r w:rsidRPr="00FA4A49">
              <w:t>» и «</w:t>
            </w:r>
            <w:proofErr w:type="spellStart"/>
            <w:r w:rsidRPr="00FA4A49">
              <w:rPr>
                <w:lang w:val="en-US"/>
              </w:rPr>
              <w:t>pdf</w:t>
            </w:r>
            <w:proofErr w:type="spellEnd"/>
            <w:r w:rsidRPr="00FA4A49">
              <w:t>» на электронном носителе.</w:t>
            </w:r>
          </w:p>
        </w:tc>
      </w:tr>
      <w:tr w:rsidR="00721A41" w:rsidRPr="00FA4A49" w:rsidTr="0053674B">
        <w:trPr>
          <w:trHeight w:val="33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lastRenderedPageBreak/>
              <w:t>Дополнительные условия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 xml:space="preserve">Согласования сметной документации с органами государственной экспертизы. </w:t>
            </w:r>
          </w:p>
          <w:p w:rsidR="00721A41" w:rsidRPr="00FA4A49" w:rsidRDefault="00721A41" w:rsidP="0053674B">
            <w:r w:rsidRPr="00FA4A49">
              <w:t>Государственную экспертизу сметной документации, снятие замечаний обеспечивает Проектировщик.</w:t>
            </w:r>
          </w:p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t>Предоставить согласие с представителем общественной организации инвалидов.</w:t>
            </w:r>
          </w:p>
          <w:p w:rsidR="00721A41" w:rsidRPr="00FA4A49" w:rsidRDefault="00721A41" w:rsidP="0053674B">
            <w:r w:rsidRPr="00FA4A49">
              <w:t>Применять в расчетах сметно-нормативную базу  (ТЕР), индексы и коэффициенты,  действующие в регионе на момент выполнения работ. Проектировщик должен быть участником СРО. Сметные расчеты выполнить в базовых и текущих ценах в ТСН Республики Крым, с использованием программного комплекса «Гранд-смета» или «</w:t>
            </w:r>
            <w:proofErr w:type="spellStart"/>
            <w:r w:rsidRPr="00FA4A49">
              <w:t>Смета.ру</w:t>
            </w:r>
            <w:proofErr w:type="spellEnd"/>
            <w:r w:rsidRPr="00FA4A49">
              <w:t>»</w:t>
            </w:r>
          </w:p>
        </w:tc>
      </w:tr>
      <w:tr w:rsidR="00721A41" w:rsidRPr="00FA4A49" w:rsidTr="00536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Срок выполнения работ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41" w:rsidRPr="00FA4A49" w:rsidRDefault="00721A41" w:rsidP="0053674B">
            <w:pPr>
              <w:rPr>
                <w:rFonts w:eastAsia="SimSun"/>
              </w:rPr>
            </w:pPr>
            <w:r w:rsidRPr="00FA4A49">
              <w:rPr>
                <w:rFonts w:eastAsia="SimSun"/>
              </w:rPr>
              <w:t>Обусловлен договором</w:t>
            </w:r>
          </w:p>
        </w:tc>
      </w:tr>
    </w:tbl>
    <w:p w:rsidR="00721A41" w:rsidRPr="00FA4A49" w:rsidRDefault="00721A41" w:rsidP="00721A41">
      <w:pPr>
        <w:autoSpaceDE w:val="0"/>
        <w:rPr>
          <w:b/>
          <w:u w:val="single"/>
        </w:rPr>
      </w:pPr>
    </w:p>
    <w:sectPr w:rsidR="00721A41" w:rsidRPr="00FA4A49" w:rsidSect="000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SimSun" w:hAnsi="Times New Roman" w:cs="Times New Roman"/>
        <w:sz w:val="26"/>
        <w:szCs w:val="2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000000A"/>
    <w:multiLevelType w:val="multilevel"/>
    <w:tmpl w:val="1382CB90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E07E9B"/>
    <w:multiLevelType w:val="hybridMultilevel"/>
    <w:tmpl w:val="543CE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456"/>
    <w:multiLevelType w:val="hybridMultilevel"/>
    <w:tmpl w:val="08C0F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A2E81"/>
    <w:multiLevelType w:val="hybridMultilevel"/>
    <w:tmpl w:val="E598B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7B4B"/>
    <w:multiLevelType w:val="hybridMultilevel"/>
    <w:tmpl w:val="543CE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57B6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SimSun" w:hAnsi="Times New Roman" w:cs="Times New Roman"/>
        <w:sz w:val="26"/>
        <w:szCs w:val="26"/>
      </w:rPr>
    </w:lvl>
  </w:abstractNum>
  <w:abstractNum w:abstractNumId="9">
    <w:nsid w:val="5CCC57F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SimSun" w:hAnsi="Times New Roman" w:cs="Times New Roman"/>
        <w:sz w:val="26"/>
        <w:szCs w:val="26"/>
      </w:rPr>
    </w:lvl>
  </w:abstractNum>
  <w:abstractNum w:abstractNumId="10">
    <w:nsid w:val="61C804FC"/>
    <w:multiLevelType w:val="hybridMultilevel"/>
    <w:tmpl w:val="E598B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B321B"/>
    <w:multiLevelType w:val="hybridMultilevel"/>
    <w:tmpl w:val="FC9A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21A41"/>
    <w:rsid w:val="00074293"/>
    <w:rsid w:val="001C73F6"/>
    <w:rsid w:val="006F34E0"/>
    <w:rsid w:val="00721A41"/>
    <w:rsid w:val="0085095F"/>
    <w:rsid w:val="00965A9D"/>
    <w:rsid w:val="00AD2ADD"/>
    <w:rsid w:val="00BC0E7A"/>
    <w:rsid w:val="00D94444"/>
    <w:rsid w:val="00EA4860"/>
    <w:rsid w:val="00F641D7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2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21A41"/>
    <w:pPr>
      <w:suppressAutoHyphens w:val="0"/>
      <w:ind w:left="720"/>
    </w:pPr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72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1A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21A41"/>
    <w:pPr>
      <w:suppressAutoHyphens w:val="0"/>
      <w:spacing w:before="280" w:after="119" w:line="276" w:lineRule="auto"/>
    </w:pPr>
    <w:rPr>
      <w:rFonts w:ascii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2017-05-22T07:21:00Z</dcterms:created>
  <dcterms:modified xsi:type="dcterms:W3CDTF">2017-05-22T07:30:00Z</dcterms:modified>
</cp:coreProperties>
</file>